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E2" w:rsidRDefault="003E46E2" w:rsidP="001A033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E46E2" w:rsidRDefault="003E46E2" w:rsidP="001A033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7069A1" w:rsidRPr="003E46E2" w:rsidRDefault="00AF5983" w:rsidP="001A033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ADMINISTRACIÓ</w:t>
      </w:r>
      <w:r w:rsidR="001A033D" w:rsidRPr="003E46E2">
        <w:rPr>
          <w:rFonts w:ascii="Arial" w:eastAsia="Calibri" w:hAnsi="Arial" w:cs="Arial"/>
          <w:b/>
          <w:sz w:val="24"/>
          <w:szCs w:val="24"/>
          <w:lang w:val="es-ES"/>
        </w:rPr>
        <w:t>N DE RIESGOS</w:t>
      </w:r>
    </w:p>
    <w:p w:rsidR="007444DF" w:rsidRPr="003E46E2" w:rsidRDefault="007444DF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100C86" w:rsidRPr="003E46E2" w:rsidRDefault="007444DF" w:rsidP="00937B4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3E46E2">
        <w:rPr>
          <w:rFonts w:ascii="Arial" w:hAnsi="Arial" w:cs="Arial"/>
          <w:color w:val="333333"/>
          <w:shd w:val="clear" w:color="auto" w:fill="FFFFFF"/>
        </w:rPr>
        <w:t>La administración de riesgos se definir como el proceso de identificación</w:t>
      </w:r>
      <w:r w:rsidR="00937B46" w:rsidRPr="003E46E2">
        <w:rPr>
          <w:rFonts w:ascii="Arial" w:hAnsi="Arial" w:cs="Arial"/>
          <w:color w:val="333333"/>
          <w:shd w:val="clear" w:color="auto" w:fill="FFFFFF"/>
        </w:rPr>
        <w:t xml:space="preserve">, medida y administración de las situaciones 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que amenazan </w:t>
      </w:r>
      <w:r w:rsidR="00937B46" w:rsidRPr="003E46E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la existencia, los activos, </w:t>
      </w:r>
      <w:r w:rsidR="00937B46" w:rsidRPr="003E46E2">
        <w:rPr>
          <w:rFonts w:ascii="Arial" w:hAnsi="Arial" w:cs="Arial"/>
          <w:color w:val="333333"/>
          <w:shd w:val="clear" w:color="auto" w:fill="FFFFFF"/>
        </w:rPr>
        <w:t xml:space="preserve">las metas, los recursos 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o al personal de una organización, o los servicios que ésta provee.</w:t>
      </w:r>
    </w:p>
    <w:p w:rsidR="00937B46" w:rsidRPr="003E46E2" w:rsidRDefault="00937B46" w:rsidP="00937B4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37B46" w:rsidRPr="003E46E2" w:rsidRDefault="00937B46" w:rsidP="00937B4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3E46E2">
        <w:rPr>
          <w:rFonts w:ascii="Arial" w:hAnsi="Arial" w:cs="Arial"/>
          <w:color w:val="333333"/>
          <w:shd w:val="clear" w:color="auto" w:fill="FFFFFF"/>
        </w:rPr>
        <w:t xml:space="preserve">Este proceso consta de 4 etapas que son: identificación y  </w:t>
      </w:r>
      <w:r w:rsidR="00E34038" w:rsidRPr="003E46E2">
        <w:rPr>
          <w:rFonts w:ascii="Arial" w:hAnsi="Arial" w:cs="Arial"/>
          <w:color w:val="333333"/>
          <w:shd w:val="clear" w:color="auto" w:fill="FFFFFF"/>
        </w:rPr>
        <w:t xml:space="preserve">calificación que 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nos permite determinar el riesgo </w:t>
      </w:r>
      <w:r w:rsidRPr="003E46E2">
        <w:rPr>
          <w:rFonts w:ascii="Arial" w:hAnsi="Arial" w:cs="Arial"/>
          <w:b/>
          <w:color w:val="333333"/>
          <w:shd w:val="clear" w:color="auto" w:fill="FFFFFF"/>
        </w:rPr>
        <w:t xml:space="preserve">inherente; 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la </w:t>
      </w:r>
      <w:r w:rsidR="00E34038" w:rsidRPr="003E46E2">
        <w:rPr>
          <w:rFonts w:ascii="Arial" w:hAnsi="Arial" w:cs="Arial"/>
          <w:color w:val="333333"/>
          <w:shd w:val="clear" w:color="auto" w:fill="FFFFFF"/>
        </w:rPr>
        <w:t xml:space="preserve">valoración  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que nos determinar el riesgo </w:t>
      </w:r>
      <w:r w:rsidRPr="003E46E2">
        <w:rPr>
          <w:rFonts w:ascii="Arial" w:hAnsi="Arial" w:cs="Arial"/>
          <w:b/>
          <w:color w:val="333333"/>
          <w:shd w:val="clear" w:color="auto" w:fill="FFFFFF"/>
        </w:rPr>
        <w:t>residual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 y el tratamiento que nos </w:t>
      </w:r>
      <w:r w:rsidR="00E34038" w:rsidRPr="003E46E2">
        <w:rPr>
          <w:rFonts w:ascii="Arial" w:hAnsi="Arial" w:cs="Arial"/>
          <w:color w:val="333333"/>
          <w:shd w:val="clear" w:color="auto" w:fill="FFFFFF"/>
        </w:rPr>
        <w:t>ayuda a</w:t>
      </w:r>
      <w:r w:rsidRPr="003E46E2">
        <w:rPr>
          <w:rFonts w:ascii="Arial" w:hAnsi="Arial" w:cs="Arial"/>
          <w:color w:val="333333"/>
          <w:shd w:val="clear" w:color="auto" w:fill="FFFFFF"/>
        </w:rPr>
        <w:t xml:space="preserve"> mantener bajo control los riesgos identificados.  </w:t>
      </w:r>
    </w:p>
    <w:p w:rsidR="00E34038" w:rsidRPr="003E46E2" w:rsidRDefault="00E34038" w:rsidP="00937B4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34038" w:rsidRPr="003E46E2" w:rsidRDefault="00E34038" w:rsidP="00937B46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  <w:r w:rsidRPr="003E46E2">
        <w:rPr>
          <w:rFonts w:ascii="Arial" w:hAnsi="Arial" w:cs="Arial"/>
          <w:color w:val="333333"/>
          <w:shd w:val="clear" w:color="auto" w:fill="FFFFFF"/>
        </w:rPr>
        <w:t>Los siguientes gráficos nos muestran el panorama del ICA en cuanto al tema de riesgos.</w:t>
      </w:r>
    </w:p>
    <w:p w:rsidR="00100C86" w:rsidRPr="003E46E2" w:rsidRDefault="00100C86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tbl>
      <w:tblPr>
        <w:tblpPr w:leftFromText="141" w:rightFromText="141" w:vertAnchor="text" w:tblpY="1"/>
        <w:tblOverlap w:val="never"/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851"/>
        <w:gridCol w:w="992"/>
      </w:tblGrid>
      <w:tr w:rsidR="00100C86" w:rsidRPr="00100C86" w:rsidTr="00E34038">
        <w:trPr>
          <w:trHeight w:val="341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RIESGO INH</w:t>
            </w:r>
            <w:r w:rsidR="004F59EB" w:rsidRPr="00937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</w:t>
            </w:r>
            <w:r w:rsidRPr="00100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RENTE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%</w:t>
            </w:r>
          </w:p>
        </w:tc>
      </w:tr>
      <w:tr w:rsidR="00100C86" w:rsidRPr="00100C86" w:rsidTr="00E34038">
        <w:trPr>
          <w:trHeight w:val="31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EXTREMO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51%</w:t>
            </w:r>
          </w:p>
        </w:tc>
      </w:tr>
      <w:tr w:rsidR="00100C86" w:rsidRPr="00100C86" w:rsidTr="00E34038">
        <w:trPr>
          <w:trHeight w:val="339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34%</w:t>
            </w:r>
          </w:p>
        </w:tc>
      </w:tr>
      <w:tr w:rsidR="00100C86" w:rsidRPr="00100C86" w:rsidTr="00E34038">
        <w:trPr>
          <w:trHeight w:val="268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MODERADO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14%</w:t>
            </w:r>
          </w:p>
        </w:tc>
      </w:tr>
      <w:tr w:rsidR="00100C86" w:rsidRPr="00100C86" w:rsidTr="00E34038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1%</w:t>
            </w:r>
          </w:p>
        </w:tc>
      </w:tr>
      <w:tr w:rsidR="00100C86" w:rsidRPr="00100C86" w:rsidTr="00E34038">
        <w:trPr>
          <w:trHeight w:val="354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C86" w:rsidRPr="00100C86" w:rsidRDefault="00100C86" w:rsidP="00E34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C86" w:rsidRPr="00100C8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00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100%</w:t>
            </w:r>
          </w:p>
        </w:tc>
      </w:tr>
      <w:tr w:rsidR="00100C86" w:rsidRPr="00937B46" w:rsidTr="00E34038">
        <w:trPr>
          <w:trHeight w:val="88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C86" w:rsidRPr="00937B46" w:rsidRDefault="00100C86" w:rsidP="00E34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C86" w:rsidRPr="00937B4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C86" w:rsidRPr="00937B46" w:rsidRDefault="00100C86" w:rsidP="00E34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580A58" w:rsidRPr="00937B46" w:rsidRDefault="00E34038" w:rsidP="00580A5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937B46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60816648" wp14:editId="5F3DC613">
            <wp:simplePos x="0" y="0"/>
            <wp:positionH relativeFrom="column">
              <wp:posOffset>192891</wp:posOffset>
            </wp:positionH>
            <wp:positionV relativeFrom="paragraph">
              <wp:posOffset>57748</wp:posOffset>
            </wp:positionV>
            <wp:extent cx="2689411" cy="1323190"/>
            <wp:effectExtent l="0" t="0" r="15875" b="1079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lang w:val="es-ES"/>
        </w:rPr>
        <w:br w:type="textWrapping" w:clear="all"/>
      </w:r>
    </w:p>
    <w:tbl>
      <w:tblPr>
        <w:tblpPr w:leftFromText="141" w:rightFromText="141" w:vertAnchor="text" w:tblpY="1"/>
        <w:tblOverlap w:val="never"/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851"/>
        <w:gridCol w:w="992"/>
      </w:tblGrid>
      <w:tr w:rsidR="00580A58" w:rsidRPr="00580A58" w:rsidTr="004F59EB">
        <w:trPr>
          <w:trHeight w:val="423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580A58">
              <w:rPr>
                <w:rFonts w:ascii="Arial" w:eastAsia="Times New Roman" w:hAnsi="Arial" w:cs="Arial"/>
                <w:b/>
                <w:bCs/>
                <w:lang w:eastAsia="es-CO"/>
              </w:rPr>
              <w:t>RIESGO RESIDUAL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%</w:t>
            </w:r>
          </w:p>
        </w:tc>
      </w:tr>
      <w:tr w:rsidR="00580A58" w:rsidRPr="00580A58" w:rsidTr="004F59EB">
        <w:trPr>
          <w:trHeight w:val="27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 xml:space="preserve">EXTREMO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1%</w:t>
            </w:r>
          </w:p>
        </w:tc>
      </w:tr>
      <w:tr w:rsidR="00580A58" w:rsidRPr="00580A58" w:rsidTr="004F59EB">
        <w:trPr>
          <w:trHeight w:val="279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9%</w:t>
            </w:r>
          </w:p>
        </w:tc>
      </w:tr>
      <w:tr w:rsidR="00580A58" w:rsidRPr="00580A58" w:rsidTr="004F59EB">
        <w:trPr>
          <w:trHeight w:val="267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MODERADO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67%</w:t>
            </w:r>
          </w:p>
        </w:tc>
      </w:tr>
      <w:tr w:rsidR="00580A58" w:rsidRPr="00580A58" w:rsidTr="004F59EB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23%</w:t>
            </w:r>
          </w:p>
        </w:tc>
      </w:tr>
      <w:tr w:rsidR="00580A58" w:rsidRPr="00580A58" w:rsidTr="00E34038">
        <w:trPr>
          <w:trHeight w:val="401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58" w:rsidRPr="00580A58" w:rsidRDefault="00580A58" w:rsidP="00580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58" w:rsidRPr="00580A58" w:rsidRDefault="00580A58" w:rsidP="0058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80A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100%</w:t>
            </w:r>
          </w:p>
        </w:tc>
      </w:tr>
    </w:tbl>
    <w:p w:rsidR="00100C86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937B46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4E13D6B7" wp14:editId="6A2103CB">
            <wp:simplePos x="0" y="0"/>
            <wp:positionH relativeFrom="column">
              <wp:posOffset>192891</wp:posOffset>
            </wp:positionH>
            <wp:positionV relativeFrom="paragraph">
              <wp:posOffset>40304</wp:posOffset>
            </wp:positionV>
            <wp:extent cx="2689411" cy="1226372"/>
            <wp:effectExtent l="0" t="0" r="15875" b="1206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Pr="00937B46" w:rsidRDefault="00580A58" w:rsidP="001A033D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80A58" w:rsidRDefault="00E34038" w:rsidP="00E34038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es-ES"/>
        </w:rPr>
      </w:pPr>
      <w:r w:rsidRPr="00E34038">
        <w:rPr>
          <w:rFonts w:ascii="Arial" w:eastAsia="Calibri" w:hAnsi="Arial" w:cs="Arial"/>
          <w:b/>
          <w:sz w:val="16"/>
          <w:szCs w:val="16"/>
          <w:lang w:val="es-ES"/>
        </w:rPr>
        <w:t>Fuente OAP</w:t>
      </w:r>
    </w:p>
    <w:p w:rsidR="00E34038" w:rsidRPr="00E34038" w:rsidRDefault="00E34038" w:rsidP="00E34038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es-ES"/>
        </w:rPr>
      </w:pPr>
    </w:p>
    <w:p w:rsidR="00070F20" w:rsidRDefault="00F77A3A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3E46E2">
        <w:rPr>
          <w:rFonts w:ascii="Arial" w:eastAsia="Calibri" w:hAnsi="Arial" w:cs="Arial"/>
          <w:lang w:val="es-ES"/>
        </w:rPr>
        <w:t>El Instituto C</w:t>
      </w:r>
      <w:r w:rsidR="0009481E" w:rsidRPr="003E46E2">
        <w:rPr>
          <w:rFonts w:ascii="Arial" w:eastAsia="Calibri" w:hAnsi="Arial" w:cs="Arial"/>
          <w:lang w:val="es-ES"/>
        </w:rPr>
        <w:t xml:space="preserve">olombiano </w:t>
      </w:r>
      <w:r w:rsidRPr="003E46E2">
        <w:rPr>
          <w:rFonts w:ascii="Arial" w:eastAsia="Calibri" w:hAnsi="Arial" w:cs="Arial"/>
          <w:lang w:val="es-ES"/>
        </w:rPr>
        <w:t>Agropecuario ICA inicia el 2017</w:t>
      </w:r>
      <w:r w:rsidR="007069A1" w:rsidRPr="003E46E2">
        <w:rPr>
          <w:rFonts w:ascii="Arial" w:eastAsia="Calibri" w:hAnsi="Arial" w:cs="Arial"/>
          <w:lang w:val="es-ES"/>
        </w:rPr>
        <w:t xml:space="preserve"> con el siguiente panorama en el tema </w:t>
      </w:r>
      <w:r w:rsidR="008F1E04" w:rsidRPr="003E46E2">
        <w:rPr>
          <w:rFonts w:ascii="Arial" w:eastAsia="Calibri" w:hAnsi="Arial" w:cs="Arial"/>
          <w:lang w:val="es-ES"/>
        </w:rPr>
        <w:t xml:space="preserve">de administración de riesgos: </w:t>
      </w:r>
      <w:r w:rsidRPr="003E46E2">
        <w:rPr>
          <w:rFonts w:ascii="Arial" w:eastAsia="Calibri" w:hAnsi="Arial" w:cs="Arial"/>
          <w:lang w:val="es-ES"/>
        </w:rPr>
        <w:t>52</w:t>
      </w:r>
      <w:r w:rsidR="007069A1" w:rsidRPr="003E46E2">
        <w:rPr>
          <w:rFonts w:ascii="Arial" w:eastAsia="Calibri" w:hAnsi="Arial" w:cs="Arial"/>
          <w:lang w:val="es-ES"/>
        </w:rPr>
        <w:t xml:space="preserve"> riesgos de corrupción, </w:t>
      </w:r>
      <w:r w:rsidRPr="003E46E2">
        <w:rPr>
          <w:rFonts w:ascii="Arial" w:eastAsia="Calibri" w:hAnsi="Arial" w:cs="Arial"/>
          <w:lang w:val="es-ES"/>
        </w:rPr>
        <w:t>85</w:t>
      </w:r>
      <w:r w:rsidR="008F1E04" w:rsidRPr="003E46E2">
        <w:rPr>
          <w:rFonts w:ascii="Arial" w:eastAsia="Calibri" w:hAnsi="Arial" w:cs="Arial"/>
          <w:lang w:val="es-ES"/>
        </w:rPr>
        <w:t xml:space="preserve"> riesgos de proceso, para un total de 137</w:t>
      </w:r>
      <w:r w:rsidR="007069A1" w:rsidRPr="003E46E2">
        <w:rPr>
          <w:rFonts w:ascii="Arial" w:eastAsia="Calibri" w:hAnsi="Arial" w:cs="Arial"/>
          <w:lang w:val="es-ES"/>
        </w:rPr>
        <w:t xml:space="preserve"> riesgos identificados, valorados y con plan de tratamiento formulado</w:t>
      </w:r>
      <w:r w:rsidR="00070F20">
        <w:rPr>
          <w:rFonts w:ascii="Arial" w:eastAsia="Calibri" w:hAnsi="Arial" w:cs="Arial"/>
          <w:lang w:val="es-ES"/>
        </w:rPr>
        <w:t xml:space="preserve">. </w:t>
      </w:r>
    </w:p>
    <w:p w:rsidR="00070F20" w:rsidRDefault="00070F20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D76709" w:rsidRPr="003E46E2" w:rsidRDefault="00070F20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De i</w:t>
      </w:r>
      <w:r w:rsidR="007069A1" w:rsidRPr="003E46E2">
        <w:rPr>
          <w:rFonts w:ascii="Arial" w:eastAsia="Calibri" w:hAnsi="Arial" w:cs="Arial"/>
          <w:lang w:val="es-ES"/>
        </w:rPr>
        <w:t xml:space="preserve">gual manera se identificaron </w:t>
      </w:r>
      <w:r w:rsidR="008F1E04" w:rsidRPr="003E46E2">
        <w:rPr>
          <w:rFonts w:ascii="Arial" w:eastAsia="Calibri" w:hAnsi="Arial" w:cs="Arial"/>
          <w:lang w:val="es-ES"/>
        </w:rPr>
        <w:t xml:space="preserve">e implementaron </w:t>
      </w:r>
      <w:r w:rsidR="00F77A3A" w:rsidRPr="003E46E2">
        <w:rPr>
          <w:rFonts w:ascii="Arial" w:eastAsia="Calibri" w:hAnsi="Arial" w:cs="Arial"/>
          <w:lang w:val="es-ES"/>
        </w:rPr>
        <w:t>539</w:t>
      </w:r>
      <w:r w:rsidR="008F1E04" w:rsidRPr="003E46E2">
        <w:rPr>
          <w:rFonts w:ascii="Arial" w:eastAsia="Calibri" w:hAnsi="Arial" w:cs="Arial"/>
          <w:lang w:val="es-ES"/>
        </w:rPr>
        <w:t xml:space="preserve"> controles de  los cuales </w:t>
      </w:r>
      <w:r w:rsidR="00F77A3A" w:rsidRPr="003E46E2">
        <w:rPr>
          <w:rFonts w:ascii="Arial" w:eastAsia="Calibri" w:hAnsi="Arial" w:cs="Arial"/>
          <w:lang w:val="es-ES"/>
        </w:rPr>
        <w:t xml:space="preserve">230 </w:t>
      </w:r>
      <w:r w:rsidR="008F1E04" w:rsidRPr="003E46E2">
        <w:rPr>
          <w:rFonts w:ascii="Arial" w:eastAsia="Calibri" w:hAnsi="Arial" w:cs="Arial"/>
          <w:lang w:val="es-ES"/>
        </w:rPr>
        <w:t>corresponden a riesgos de corrupción.</w:t>
      </w:r>
    </w:p>
    <w:p w:rsidR="00F77A3A" w:rsidRPr="003E46E2" w:rsidRDefault="00F77A3A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7069A1" w:rsidRPr="003E46E2" w:rsidRDefault="00F77A3A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3E46E2">
        <w:rPr>
          <w:rFonts w:ascii="Arial" w:eastAsia="Calibri" w:hAnsi="Arial" w:cs="Arial"/>
          <w:lang w:val="es-ES"/>
        </w:rPr>
        <w:t xml:space="preserve">Como resultado de la implementación </w:t>
      </w:r>
      <w:r w:rsidR="008F1E04" w:rsidRPr="003E46E2">
        <w:rPr>
          <w:rFonts w:ascii="Arial" w:eastAsia="Calibri" w:hAnsi="Arial" w:cs="Arial"/>
          <w:lang w:val="es-ES"/>
        </w:rPr>
        <w:t xml:space="preserve">de la política de administración de riesgos se </w:t>
      </w:r>
      <w:r w:rsidRPr="003E46E2">
        <w:rPr>
          <w:rFonts w:ascii="Arial" w:eastAsia="Calibri" w:hAnsi="Arial" w:cs="Arial"/>
          <w:lang w:val="es-ES"/>
        </w:rPr>
        <w:t xml:space="preserve">formula el plan de tratamiento para un total de </w:t>
      </w:r>
      <w:r w:rsidR="00702859" w:rsidRPr="003E46E2">
        <w:rPr>
          <w:rFonts w:ascii="Arial" w:eastAsia="Calibri" w:hAnsi="Arial" w:cs="Arial"/>
          <w:lang w:val="es-ES"/>
        </w:rPr>
        <w:t xml:space="preserve">105 riesgos con </w:t>
      </w:r>
      <w:r w:rsidR="007069A1" w:rsidRPr="003E46E2">
        <w:rPr>
          <w:rFonts w:ascii="Arial" w:eastAsia="Calibri" w:hAnsi="Arial" w:cs="Arial"/>
          <w:lang w:val="es-ES"/>
        </w:rPr>
        <w:t xml:space="preserve"> </w:t>
      </w:r>
      <w:r w:rsidR="00702859" w:rsidRPr="003E46E2">
        <w:rPr>
          <w:rFonts w:ascii="Arial" w:eastAsia="Calibri" w:hAnsi="Arial" w:cs="Arial"/>
          <w:lang w:val="es-ES"/>
        </w:rPr>
        <w:t>1424</w:t>
      </w:r>
      <w:r w:rsidR="007069A1" w:rsidRPr="003E46E2">
        <w:rPr>
          <w:rFonts w:ascii="Arial" w:eastAsia="Calibri" w:hAnsi="Arial" w:cs="Arial"/>
          <w:lang w:val="es-ES"/>
        </w:rPr>
        <w:t xml:space="preserve">  acciones</w:t>
      </w:r>
      <w:r w:rsidR="008F1E04" w:rsidRPr="003E46E2">
        <w:rPr>
          <w:rFonts w:ascii="Arial" w:eastAsia="Calibri" w:hAnsi="Arial" w:cs="Arial"/>
          <w:lang w:val="es-ES"/>
        </w:rPr>
        <w:t xml:space="preserve"> </w:t>
      </w:r>
      <w:r w:rsidR="00702859" w:rsidRPr="003E46E2">
        <w:rPr>
          <w:rFonts w:ascii="Arial" w:eastAsia="Calibri" w:hAnsi="Arial" w:cs="Arial"/>
          <w:lang w:val="es-ES"/>
        </w:rPr>
        <w:t xml:space="preserve">programadas </w:t>
      </w:r>
      <w:r w:rsidR="008F1E04" w:rsidRPr="003E46E2">
        <w:rPr>
          <w:rFonts w:ascii="Arial" w:eastAsia="Calibri" w:hAnsi="Arial" w:cs="Arial"/>
          <w:lang w:val="es-ES"/>
        </w:rPr>
        <w:t>en las diferentes dependencias</w:t>
      </w:r>
      <w:r w:rsidR="007069A1" w:rsidRPr="003E46E2">
        <w:rPr>
          <w:rFonts w:ascii="Arial" w:eastAsia="Calibri" w:hAnsi="Arial" w:cs="Arial"/>
          <w:lang w:val="es-ES"/>
        </w:rPr>
        <w:t xml:space="preserve">, </w:t>
      </w:r>
      <w:r w:rsidR="00412EA0" w:rsidRPr="003E46E2">
        <w:rPr>
          <w:rFonts w:ascii="Arial" w:eastAsia="Calibri" w:hAnsi="Arial" w:cs="Arial"/>
          <w:lang w:val="es-ES"/>
        </w:rPr>
        <w:t>para los riesgos residuales</w:t>
      </w:r>
      <w:r w:rsidR="007069A1" w:rsidRPr="003E46E2">
        <w:rPr>
          <w:rFonts w:ascii="Arial" w:eastAsia="Calibri" w:hAnsi="Arial" w:cs="Arial"/>
          <w:lang w:val="es-ES"/>
        </w:rPr>
        <w:t xml:space="preserve"> ubicados en los niveles </w:t>
      </w:r>
      <w:r w:rsidR="00DE6C07" w:rsidRPr="003E46E2">
        <w:rPr>
          <w:rFonts w:ascii="Arial" w:eastAsia="Calibri" w:hAnsi="Arial" w:cs="Arial"/>
          <w:lang w:val="es-ES"/>
        </w:rPr>
        <w:t xml:space="preserve">extremo, </w:t>
      </w:r>
      <w:r w:rsidR="00070F20">
        <w:rPr>
          <w:rFonts w:ascii="Arial" w:eastAsia="Calibri" w:hAnsi="Arial" w:cs="Arial"/>
          <w:lang w:val="es-ES"/>
        </w:rPr>
        <w:t xml:space="preserve">alto y moderado y se ejecutan 1282 lo cual corresponde a un 90%. </w:t>
      </w:r>
      <w:r w:rsidR="007069A1" w:rsidRPr="003E46E2">
        <w:rPr>
          <w:rFonts w:ascii="Arial" w:eastAsia="Calibri" w:hAnsi="Arial" w:cs="Arial"/>
          <w:lang w:val="es-ES"/>
        </w:rPr>
        <w:t xml:space="preserve"> </w:t>
      </w:r>
    </w:p>
    <w:p w:rsidR="007069A1" w:rsidRPr="003E46E2" w:rsidRDefault="007069A1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7069A1" w:rsidRDefault="007069A1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3E46E2">
        <w:rPr>
          <w:rFonts w:ascii="Arial" w:eastAsia="Calibri" w:hAnsi="Arial" w:cs="Arial"/>
          <w:lang w:val="es-ES"/>
        </w:rPr>
        <w:t xml:space="preserve">A continuación un cuadro comparativo de los </w:t>
      </w:r>
      <w:r w:rsidR="00702859" w:rsidRPr="003E46E2">
        <w:rPr>
          <w:rFonts w:ascii="Arial" w:eastAsia="Calibri" w:hAnsi="Arial" w:cs="Arial"/>
          <w:lang w:val="es-ES"/>
        </w:rPr>
        <w:t xml:space="preserve">diferentes niveles de </w:t>
      </w:r>
      <w:r w:rsidRPr="003E46E2">
        <w:rPr>
          <w:rFonts w:ascii="Arial" w:eastAsia="Calibri" w:hAnsi="Arial" w:cs="Arial"/>
          <w:lang w:val="es-ES"/>
        </w:rPr>
        <w:t xml:space="preserve">riesgos desde la vigencia 2011, en el cual se observan claros cambios en su </w:t>
      </w:r>
      <w:r w:rsidR="003E46E2" w:rsidRPr="003E46E2">
        <w:rPr>
          <w:rFonts w:ascii="Arial" w:eastAsia="Calibri" w:hAnsi="Arial" w:cs="Arial"/>
          <w:lang w:val="es-ES"/>
        </w:rPr>
        <w:t>administración</w:t>
      </w:r>
      <w:r w:rsidRPr="003E46E2">
        <w:rPr>
          <w:rFonts w:ascii="Arial" w:eastAsia="Calibri" w:hAnsi="Arial" w:cs="Arial"/>
          <w:lang w:val="es-ES"/>
        </w:rPr>
        <w:t>.</w:t>
      </w:r>
    </w:p>
    <w:p w:rsidR="003E46E2" w:rsidRDefault="003E46E2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3E46E2" w:rsidRDefault="003E46E2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3E46E2" w:rsidRPr="003E46E2" w:rsidRDefault="003E46E2" w:rsidP="007069A1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:rsidR="007069A1" w:rsidRPr="00937B46" w:rsidRDefault="007069A1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tbl>
      <w:tblPr>
        <w:tblW w:w="78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808"/>
        <w:gridCol w:w="808"/>
        <w:gridCol w:w="808"/>
        <w:gridCol w:w="808"/>
        <w:gridCol w:w="808"/>
        <w:gridCol w:w="808"/>
        <w:gridCol w:w="808"/>
      </w:tblGrid>
      <w:tr w:rsidR="00702859" w:rsidRPr="00702859" w:rsidTr="000F1DD7">
        <w:trPr>
          <w:trHeight w:val="375"/>
        </w:trPr>
        <w:tc>
          <w:tcPr>
            <w:tcW w:w="782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 xml:space="preserve">COMPORTAMIENTO DE LOS RIESGOS </w:t>
            </w:r>
          </w:p>
        </w:tc>
      </w:tr>
      <w:tr w:rsidR="00702859" w:rsidRPr="00702859" w:rsidTr="000F1DD7">
        <w:trPr>
          <w:trHeight w:val="720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Riesgo  Residual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2012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2016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2017</w:t>
            </w:r>
          </w:p>
        </w:tc>
      </w:tr>
      <w:tr w:rsidR="00702859" w:rsidRPr="00702859" w:rsidTr="000F1DD7">
        <w:trPr>
          <w:trHeight w:val="405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EXTREMO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  <w:tr w:rsidR="00702859" w:rsidRPr="00702859" w:rsidTr="000F1DD7">
        <w:trPr>
          <w:trHeight w:val="360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</w:tr>
      <w:tr w:rsidR="00702859" w:rsidRPr="00702859" w:rsidTr="000F1DD7">
        <w:trPr>
          <w:trHeight w:val="720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MODERADO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92</w:t>
            </w:r>
          </w:p>
        </w:tc>
      </w:tr>
      <w:tr w:rsidR="00702859" w:rsidRPr="00702859" w:rsidTr="000F1DD7">
        <w:trPr>
          <w:trHeight w:val="360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BAJO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702859" w:rsidRPr="00702859" w:rsidTr="000F1DD7">
        <w:trPr>
          <w:trHeight w:val="375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59" w:rsidRPr="00702859" w:rsidRDefault="00702859" w:rsidP="00702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138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859" w:rsidRPr="00702859" w:rsidRDefault="00702859" w:rsidP="0070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02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137</w:t>
            </w:r>
          </w:p>
        </w:tc>
      </w:tr>
    </w:tbl>
    <w:p w:rsidR="00E34038" w:rsidRDefault="00E34038" w:rsidP="00E34038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es-ES"/>
        </w:rPr>
      </w:pPr>
      <w:r w:rsidRPr="00E34038">
        <w:rPr>
          <w:rFonts w:ascii="Arial" w:eastAsia="Calibri" w:hAnsi="Arial" w:cs="Arial"/>
          <w:b/>
          <w:sz w:val="16"/>
          <w:szCs w:val="16"/>
          <w:lang w:val="es-ES"/>
        </w:rPr>
        <w:t>Fuente OAP</w:t>
      </w:r>
    </w:p>
    <w:p w:rsidR="007069A1" w:rsidRPr="00937B46" w:rsidRDefault="007069A1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7069A1" w:rsidRPr="00937B46" w:rsidRDefault="007069A1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7069A1" w:rsidRPr="00937B46" w:rsidRDefault="00702859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937B46">
        <w:rPr>
          <w:rFonts w:ascii="Arial" w:eastAsia="Calibri" w:hAnsi="Arial" w:cs="Arial"/>
          <w:color w:val="000000"/>
          <w:lang w:val="es-ES"/>
        </w:rPr>
        <w:t>C</w:t>
      </w:r>
      <w:r w:rsidR="007069A1" w:rsidRPr="00937B46">
        <w:rPr>
          <w:rFonts w:ascii="Arial" w:eastAsia="Calibri" w:hAnsi="Arial" w:cs="Arial"/>
          <w:color w:val="000000"/>
          <w:lang w:val="es-ES"/>
        </w:rPr>
        <w:t xml:space="preserve">omo resultado de la </w:t>
      </w:r>
      <w:r w:rsidR="00BA6298" w:rsidRPr="00937B46">
        <w:rPr>
          <w:rFonts w:ascii="Arial" w:eastAsia="Calibri" w:hAnsi="Arial" w:cs="Arial"/>
          <w:color w:val="000000"/>
          <w:lang w:val="es-ES"/>
        </w:rPr>
        <w:t xml:space="preserve">capacitación y el acompañamiento a las seccionales y dependencias se obtiene un incremento de las acciones de tratamiento programadas pasando de </w:t>
      </w:r>
      <w:r w:rsidRPr="00937B46">
        <w:rPr>
          <w:rFonts w:ascii="Arial" w:eastAsia="Calibri" w:hAnsi="Arial" w:cs="Arial"/>
          <w:color w:val="000000"/>
          <w:lang w:val="es-ES"/>
        </w:rPr>
        <w:t>1117</w:t>
      </w:r>
      <w:r w:rsidR="0091437F" w:rsidRPr="00937B46">
        <w:rPr>
          <w:rFonts w:ascii="Arial" w:eastAsia="Calibri" w:hAnsi="Arial" w:cs="Arial"/>
          <w:color w:val="000000"/>
          <w:lang w:val="es-ES"/>
        </w:rPr>
        <w:t xml:space="preserve"> en </w:t>
      </w:r>
      <w:r w:rsidRPr="00937B46">
        <w:rPr>
          <w:rFonts w:ascii="Arial" w:eastAsia="Calibri" w:hAnsi="Arial" w:cs="Arial"/>
          <w:color w:val="000000"/>
          <w:lang w:val="es-ES"/>
        </w:rPr>
        <w:t>2016</w:t>
      </w:r>
      <w:r w:rsidR="00BA6298" w:rsidRPr="00937B46">
        <w:rPr>
          <w:rFonts w:ascii="Arial" w:eastAsia="Calibri" w:hAnsi="Arial" w:cs="Arial"/>
          <w:color w:val="000000"/>
          <w:lang w:val="es-ES"/>
        </w:rPr>
        <w:t xml:space="preserve"> </w:t>
      </w:r>
      <w:r w:rsidR="0091437F" w:rsidRPr="00937B46">
        <w:rPr>
          <w:rFonts w:ascii="Arial" w:eastAsia="Calibri" w:hAnsi="Arial" w:cs="Arial"/>
          <w:color w:val="000000"/>
          <w:lang w:val="es-ES"/>
        </w:rPr>
        <w:t xml:space="preserve">a </w:t>
      </w:r>
      <w:r w:rsidRPr="00937B46">
        <w:rPr>
          <w:rFonts w:ascii="Arial" w:eastAsia="Calibri" w:hAnsi="Arial" w:cs="Arial"/>
          <w:color w:val="000000"/>
          <w:lang w:val="es-ES"/>
        </w:rPr>
        <w:t>1424</w:t>
      </w:r>
      <w:r w:rsidR="0091437F" w:rsidRPr="00937B46">
        <w:rPr>
          <w:rFonts w:ascii="Arial" w:eastAsia="Calibri" w:hAnsi="Arial" w:cs="Arial"/>
          <w:color w:val="000000"/>
          <w:lang w:val="es-ES"/>
        </w:rPr>
        <w:t xml:space="preserve"> el 201</w:t>
      </w:r>
      <w:r w:rsidRPr="00937B46">
        <w:rPr>
          <w:rFonts w:ascii="Arial" w:eastAsia="Calibri" w:hAnsi="Arial" w:cs="Arial"/>
          <w:color w:val="000000"/>
          <w:lang w:val="es-ES"/>
        </w:rPr>
        <w:t>7</w:t>
      </w:r>
      <w:r w:rsidR="00BA6298" w:rsidRPr="00937B46">
        <w:rPr>
          <w:rFonts w:ascii="Arial" w:eastAsia="Calibri" w:hAnsi="Arial" w:cs="Arial"/>
          <w:color w:val="000000"/>
          <w:lang w:val="es-ES"/>
        </w:rPr>
        <w:t xml:space="preserve"> y en cuanto a ejecución se </w:t>
      </w:r>
      <w:r w:rsidR="00597FCF" w:rsidRPr="00937B46">
        <w:rPr>
          <w:rFonts w:ascii="Arial" w:eastAsia="Calibri" w:hAnsi="Arial" w:cs="Arial"/>
          <w:color w:val="000000"/>
          <w:lang w:val="es-ES"/>
        </w:rPr>
        <w:t>ha logrado un promedio de</w:t>
      </w:r>
      <w:r w:rsidR="00AC14A3" w:rsidRPr="00937B46">
        <w:rPr>
          <w:rFonts w:ascii="Arial" w:eastAsia="Calibri" w:hAnsi="Arial" w:cs="Arial"/>
          <w:color w:val="000000"/>
          <w:lang w:val="es-ES"/>
        </w:rPr>
        <w:t>l</w:t>
      </w:r>
      <w:r w:rsidR="00597FCF" w:rsidRPr="00937B46">
        <w:rPr>
          <w:rFonts w:ascii="Arial" w:eastAsia="Calibri" w:hAnsi="Arial" w:cs="Arial"/>
          <w:color w:val="000000"/>
          <w:lang w:val="es-ES"/>
        </w:rPr>
        <w:t xml:space="preserve"> </w:t>
      </w:r>
      <w:r w:rsidR="00070F20">
        <w:rPr>
          <w:rFonts w:ascii="Arial" w:eastAsia="Calibri" w:hAnsi="Arial" w:cs="Arial"/>
          <w:color w:val="000000"/>
          <w:lang w:val="es-ES"/>
        </w:rPr>
        <w:t>90</w:t>
      </w:r>
      <w:r w:rsidR="0011221C">
        <w:rPr>
          <w:rFonts w:ascii="Arial" w:eastAsia="Calibri" w:hAnsi="Arial" w:cs="Arial"/>
          <w:color w:val="000000"/>
          <w:lang w:val="es-ES"/>
        </w:rPr>
        <w:t>%</w:t>
      </w:r>
      <w:r w:rsidR="00043A22" w:rsidRPr="00937B46">
        <w:rPr>
          <w:rFonts w:ascii="Arial" w:eastAsia="Calibri" w:hAnsi="Arial" w:cs="Arial"/>
          <w:color w:val="000000"/>
          <w:lang w:val="es-ES"/>
        </w:rPr>
        <w:t xml:space="preserve"> </w:t>
      </w:r>
      <w:r w:rsidR="000E0B02" w:rsidRPr="00937B46">
        <w:rPr>
          <w:rFonts w:ascii="Arial" w:eastAsia="Calibri" w:hAnsi="Arial" w:cs="Arial"/>
          <w:color w:val="000000"/>
          <w:lang w:val="es-ES"/>
        </w:rPr>
        <w:t xml:space="preserve">para los riesgos de corrupción y un </w:t>
      </w:r>
      <w:r w:rsidR="0011221C">
        <w:rPr>
          <w:rFonts w:ascii="Arial" w:eastAsia="Calibri" w:hAnsi="Arial" w:cs="Arial"/>
          <w:color w:val="000000"/>
          <w:lang w:val="es-ES"/>
        </w:rPr>
        <w:t>90%</w:t>
      </w:r>
      <w:r w:rsidR="000E0B02" w:rsidRPr="00937B46">
        <w:rPr>
          <w:rFonts w:ascii="Arial" w:eastAsia="Calibri" w:hAnsi="Arial" w:cs="Arial"/>
          <w:color w:val="000000"/>
          <w:lang w:val="es-ES"/>
        </w:rPr>
        <w:t xml:space="preserve"> para el resto de los riesgos</w:t>
      </w:r>
      <w:r w:rsidR="00351F8E" w:rsidRPr="00937B46">
        <w:rPr>
          <w:rFonts w:ascii="Arial" w:eastAsia="Calibri" w:hAnsi="Arial" w:cs="Arial"/>
          <w:color w:val="000000"/>
          <w:lang w:val="es-ES"/>
        </w:rPr>
        <w:t>.</w:t>
      </w:r>
      <w:r w:rsidR="000E0B02" w:rsidRPr="00937B46">
        <w:rPr>
          <w:rFonts w:ascii="Arial" w:eastAsia="Calibri" w:hAnsi="Arial" w:cs="Arial"/>
          <w:color w:val="000000"/>
          <w:lang w:val="es-ES"/>
        </w:rPr>
        <w:t xml:space="preserve"> </w:t>
      </w:r>
    </w:p>
    <w:p w:rsidR="00043A22" w:rsidRPr="00937B46" w:rsidRDefault="00043A22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043A22" w:rsidRDefault="004836EB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937B46">
        <w:rPr>
          <w:rFonts w:ascii="Arial" w:eastAsia="Calibri" w:hAnsi="Arial" w:cs="Arial"/>
          <w:color w:val="000000"/>
          <w:lang w:val="es-ES"/>
        </w:rPr>
        <w:t xml:space="preserve">A continuación el </w:t>
      </w:r>
      <w:r w:rsidR="003E46E2">
        <w:rPr>
          <w:rFonts w:ascii="Arial" w:eastAsia="Calibri" w:hAnsi="Arial" w:cs="Arial"/>
          <w:color w:val="000000"/>
          <w:lang w:val="es-ES"/>
        </w:rPr>
        <w:t xml:space="preserve">reporte de </w:t>
      </w:r>
      <w:r w:rsidRPr="00937B46">
        <w:rPr>
          <w:rFonts w:ascii="Arial" w:eastAsia="Calibri" w:hAnsi="Arial" w:cs="Arial"/>
          <w:color w:val="000000"/>
          <w:lang w:val="es-ES"/>
        </w:rPr>
        <w:t>control y seguimiento a la admi</w:t>
      </w:r>
      <w:r w:rsidR="00702859" w:rsidRPr="00937B46">
        <w:rPr>
          <w:rFonts w:ascii="Arial" w:eastAsia="Calibri" w:hAnsi="Arial" w:cs="Arial"/>
          <w:color w:val="000000"/>
          <w:lang w:val="es-ES"/>
        </w:rPr>
        <w:t xml:space="preserve">nistración de riesgos en el </w:t>
      </w:r>
      <w:r w:rsidR="00070F20" w:rsidRPr="00937B46">
        <w:rPr>
          <w:rFonts w:ascii="Arial" w:eastAsia="Calibri" w:hAnsi="Arial" w:cs="Arial"/>
          <w:color w:val="000000"/>
          <w:lang w:val="es-ES"/>
        </w:rPr>
        <w:t xml:space="preserve">2017. </w:t>
      </w:r>
    </w:p>
    <w:p w:rsidR="00070F20" w:rsidRPr="00937B46" w:rsidRDefault="00070F20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tbl>
      <w:tblPr>
        <w:tblW w:w="6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600"/>
        <w:gridCol w:w="473"/>
      </w:tblGrid>
      <w:tr w:rsidR="00070F20" w:rsidRPr="00070F20" w:rsidTr="00070F20">
        <w:trPr>
          <w:trHeight w:val="6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Elaboraron plan y presentaron los informes de avance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>36</w:t>
            </w:r>
          </w:p>
        </w:tc>
      </w:tr>
      <w:tr w:rsidR="00070F20" w:rsidRPr="00070F20" w:rsidTr="00070F20">
        <w:trPr>
          <w:trHeight w:val="5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F20" w:rsidRPr="00070F20" w:rsidRDefault="00070F20" w:rsidP="00070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Elaboraron plan y presentaron uno de los informes de avance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</w:tr>
      <w:tr w:rsidR="00070F20" w:rsidRPr="00070F20" w:rsidTr="00070F20">
        <w:trPr>
          <w:trHeight w:val="64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F20" w:rsidRPr="00070F20" w:rsidRDefault="00070F20" w:rsidP="00070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No elaboraron plan y/o no presentaron informes de avance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0" w:rsidRPr="00070F20" w:rsidRDefault="00070F20" w:rsidP="00070F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70F20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</w:tr>
    </w:tbl>
    <w:p w:rsidR="00C707EC" w:rsidRDefault="00C707EC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070F20" w:rsidRPr="00937B46" w:rsidRDefault="00070F20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F13ED1" w:rsidRPr="00937B46" w:rsidRDefault="005A0C42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>
        <w:rPr>
          <w:rFonts w:ascii="Arial" w:eastAsia="Calibri" w:hAnsi="Arial" w:cs="Arial"/>
          <w:color w:val="000000"/>
          <w:lang w:val="es-ES"/>
        </w:rPr>
        <w:t>L</w:t>
      </w:r>
      <w:r w:rsidR="007069A1" w:rsidRPr="00937B46">
        <w:rPr>
          <w:rFonts w:ascii="Arial" w:eastAsia="Calibri" w:hAnsi="Arial" w:cs="Arial"/>
          <w:color w:val="000000"/>
          <w:lang w:val="es-ES"/>
        </w:rPr>
        <w:t xml:space="preserve">as Gerencias Seccionales </w:t>
      </w:r>
      <w:r w:rsidR="002779F8" w:rsidRPr="00937B46">
        <w:rPr>
          <w:rFonts w:ascii="Arial" w:eastAsia="Calibri" w:hAnsi="Arial" w:cs="Arial"/>
          <w:color w:val="000000"/>
          <w:lang w:val="es-ES"/>
        </w:rPr>
        <w:t>y las Oficinas N</w:t>
      </w:r>
      <w:r w:rsidR="0091437F" w:rsidRPr="00937B46">
        <w:rPr>
          <w:rFonts w:ascii="Arial" w:eastAsia="Calibri" w:hAnsi="Arial" w:cs="Arial"/>
          <w:color w:val="000000"/>
          <w:lang w:val="es-ES"/>
        </w:rPr>
        <w:t xml:space="preserve">acionales </w:t>
      </w:r>
      <w:r w:rsidR="007069A1" w:rsidRPr="00937B46">
        <w:rPr>
          <w:rFonts w:ascii="Arial" w:eastAsia="Calibri" w:hAnsi="Arial" w:cs="Arial"/>
          <w:color w:val="000000"/>
          <w:lang w:val="es-ES"/>
        </w:rPr>
        <w:t xml:space="preserve">se han involucrado </w:t>
      </w:r>
      <w:r w:rsidR="000E0B02" w:rsidRPr="00937B46">
        <w:rPr>
          <w:rFonts w:ascii="Arial" w:eastAsia="Calibri" w:hAnsi="Arial" w:cs="Arial"/>
          <w:color w:val="000000"/>
          <w:lang w:val="es-ES"/>
        </w:rPr>
        <w:t xml:space="preserve">activamente tanto en la identificación, valoración y  calificación,  como en el tratamiento de los </w:t>
      </w:r>
      <w:r w:rsidR="00973659">
        <w:rPr>
          <w:rFonts w:ascii="Arial" w:eastAsia="Calibri" w:hAnsi="Arial" w:cs="Arial"/>
          <w:color w:val="000000"/>
          <w:lang w:val="es-ES"/>
        </w:rPr>
        <w:t>riesgos</w:t>
      </w:r>
      <w:r w:rsidR="000E0B02" w:rsidRPr="00937B46">
        <w:rPr>
          <w:rFonts w:ascii="Arial" w:eastAsia="Calibri" w:hAnsi="Arial" w:cs="Arial"/>
          <w:color w:val="000000"/>
          <w:lang w:val="es-ES"/>
        </w:rPr>
        <w:t xml:space="preserve">, situación que se ve reflejada en el mejoramiento continuo de los procesos y procedimientos y en el incremento de la gestión en general del </w:t>
      </w:r>
      <w:r w:rsidR="00AE5A7D" w:rsidRPr="00937B46">
        <w:rPr>
          <w:rFonts w:ascii="Arial" w:eastAsia="Calibri" w:hAnsi="Arial" w:cs="Arial"/>
          <w:color w:val="000000"/>
          <w:lang w:val="es-ES"/>
        </w:rPr>
        <w:t>Instituto.</w:t>
      </w:r>
      <w:r w:rsidR="000E0B02" w:rsidRPr="00937B46">
        <w:rPr>
          <w:rFonts w:ascii="Arial" w:eastAsia="Calibri" w:hAnsi="Arial" w:cs="Arial"/>
          <w:color w:val="000000"/>
          <w:lang w:val="es-ES"/>
        </w:rPr>
        <w:t xml:space="preserve">   </w:t>
      </w:r>
    </w:p>
    <w:p w:rsidR="00F13ED1" w:rsidRPr="00937B46" w:rsidRDefault="00F13ED1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:rsidR="007069A1" w:rsidRPr="00937B46" w:rsidRDefault="00DE6C07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  <w:r w:rsidRPr="00937B46">
        <w:rPr>
          <w:rFonts w:ascii="Arial" w:eastAsia="Calibri" w:hAnsi="Arial" w:cs="Arial"/>
          <w:bCs/>
          <w:lang w:val="es-ES"/>
        </w:rPr>
        <w:t xml:space="preserve">A continuación un resumen histórico que muestra </w:t>
      </w:r>
      <w:r w:rsidR="004836EB" w:rsidRPr="00937B46">
        <w:rPr>
          <w:rFonts w:ascii="Arial" w:eastAsia="Calibri" w:hAnsi="Arial" w:cs="Arial"/>
          <w:bCs/>
          <w:lang w:val="es-ES"/>
        </w:rPr>
        <w:t>la evolución</w:t>
      </w:r>
      <w:r w:rsidRPr="00937B46">
        <w:rPr>
          <w:rFonts w:ascii="Arial" w:eastAsia="Calibri" w:hAnsi="Arial" w:cs="Arial"/>
          <w:bCs/>
          <w:lang w:val="es-ES"/>
        </w:rPr>
        <w:t xml:space="preserve"> </w:t>
      </w:r>
      <w:r w:rsidR="00AC14A3" w:rsidRPr="00937B46">
        <w:rPr>
          <w:rFonts w:ascii="Arial" w:eastAsia="Calibri" w:hAnsi="Arial" w:cs="Arial"/>
          <w:bCs/>
          <w:lang w:val="es-ES"/>
        </w:rPr>
        <w:t xml:space="preserve">en la administración </w:t>
      </w:r>
      <w:r w:rsidRPr="00937B46">
        <w:rPr>
          <w:rFonts w:ascii="Arial" w:eastAsia="Calibri" w:hAnsi="Arial" w:cs="Arial"/>
          <w:bCs/>
          <w:lang w:val="es-ES"/>
        </w:rPr>
        <w:t xml:space="preserve">de los riesgos en los últimos </w:t>
      </w:r>
      <w:r w:rsidR="003E46E2">
        <w:rPr>
          <w:rFonts w:ascii="Arial" w:eastAsia="Calibri" w:hAnsi="Arial" w:cs="Arial"/>
          <w:bCs/>
          <w:lang w:val="es-ES"/>
        </w:rPr>
        <w:t>5</w:t>
      </w:r>
      <w:r w:rsidRPr="00937B46">
        <w:rPr>
          <w:rFonts w:ascii="Arial" w:eastAsia="Calibri" w:hAnsi="Arial" w:cs="Arial"/>
          <w:bCs/>
          <w:lang w:val="es-ES"/>
        </w:rPr>
        <w:t xml:space="preserve"> años. </w:t>
      </w:r>
    </w:p>
    <w:p w:rsidR="00D80B8A" w:rsidRPr="00937B46" w:rsidRDefault="00D80B8A" w:rsidP="00706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tbl>
      <w:tblPr>
        <w:tblW w:w="79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1"/>
        <w:gridCol w:w="389"/>
        <w:gridCol w:w="964"/>
        <w:gridCol w:w="141"/>
        <w:gridCol w:w="851"/>
        <w:gridCol w:w="993"/>
        <w:gridCol w:w="1280"/>
        <w:gridCol w:w="1280"/>
        <w:gridCol w:w="1294"/>
      </w:tblGrid>
      <w:tr w:rsidR="000E0B02" w:rsidRPr="000E0B02" w:rsidTr="000E0B02">
        <w:trPr>
          <w:trHeight w:val="465"/>
        </w:trPr>
        <w:tc>
          <w:tcPr>
            <w:tcW w:w="797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RESUMEN TRATAMIENTO RIESGOS 2013-2017 </w:t>
            </w:r>
          </w:p>
        </w:tc>
      </w:tr>
      <w:tr w:rsidR="000E0B02" w:rsidRPr="000E0B02" w:rsidTr="00973659">
        <w:trPr>
          <w:trHeight w:val="46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2017</w:t>
            </w:r>
          </w:p>
        </w:tc>
      </w:tr>
      <w:tr w:rsidR="000E0B02" w:rsidRPr="000E0B02" w:rsidTr="00973659">
        <w:trPr>
          <w:trHeight w:val="46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TOTAL RIESGOS IDENTIFICADOS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137</w:t>
            </w:r>
          </w:p>
        </w:tc>
      </w:tr>
      <w:tr w:rsidR="000E0B02" w:rsidRPr="000E0B02" w:rsidTr="00973659">
        <w:trPr>
          <w:trHeight w:val="46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TOTAL CONTROLES IDENTIFICADOS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539</w:t>
            </w:r>
          </w:p>
        </w:tc>
      </w:tr>
      <w:tr w:rsidR="000E0B02" w:rsidRPr="000E0B02" w:rsidTr="00973659">
        <w:trPr>
          <w:trHeight w:val="46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TOTAL RIESGOS PARA TRATAMIENTO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105</w:t>
            </w:r>
          </w:p>
        </w:tc>
      </w:tr>
      <w:tr w:rsidR="000E0B02" w:rsidRPr="000E0B02" w:rsidTr="00973659">
        <w:trPr>
          <w:trHeight w:val="46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TOTAL RIESGOS NUEVOS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  <w:tr w:rsidR="000E0B02" w:rsidRPr="000E0B02" w:rsidTr="00973659">
        <w:trPr>
          <w:trHeight w:val="59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ACCIONES DE TRATAMIENTO PROGRAMADAS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1424</w:t>
            </w:r>
          </w:p>
        </w:tc>
      </w:tr>
      <w:tr w:rsidR="000E0B02" w:rsidRPr="000E0B02" w:rsidTr="00973659">
        <w:trPr>
          <w:trHeight w:val="525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ACCIONES DE TRATAMIENTO  EJECUTADAS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5A0C4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1282</w:t>
            </w:r>
            <w:r w:rsidR="000E0B02"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37B46" w:rsidRPr="000E0B02" w:rsidTr="00973659">
        <w:trPr>
          <w:trHeight w:val="45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0E0B02" w:rsidRPr="000E0B02" w:rsidTr="000E0B02">
        <w:trPr>
          <w:trHeight w:val="465"/>
        </w:trPr>
        <w:tc>
          <w:tcPr>
            <w:tcW w:w="797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RESUMEN TRATAMIENTO RIESGOS  CORRUPCIÓN 2013-2017</w:t>
            </w:r>
          </w:p>
        </w:tc>
      </w:tr>
      <w:tr w:rsidR="000E0B02" w:rsidRPr="000E0B02" w:rsidTr="000E0B02">
        <w:trPr>
          <w:trHeight w:val="525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DESCRIPCION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2017</w:t>
            </w:r>
          </w:p>
        </w:tc>
      </w:tr>
      <w:tr w:rsidR="000E0B02" w:rsidRPr="000E0B02" w:rsidTr="000E0B02">
        <w:trPr>
          <w:trHeight w:val="480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TOTAL RIESGOS IDENTIFICADOS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52</w:t>
            </w:r>
          </w:p>
        </w:tc>
      </w:tr>
      <w:tr w:rsidR="000E0B02" w:rsidRPr="000E0B02" w:rsidTr="000E0B02">
        <w:trPr>
          <w:trHeight w:val="525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TOTAL CONTROLES IDENTIFICADOS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230</w:t>
            </w:r>
          </w:p>
        </w:tc>
      </w:tr>
      <w:tr w:rsidR="000E0B02" w:rsidRPr="000E0B02" w:rsidTr="000E0B02">
        <w:trPr>
          <w:trHeight w:val="480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TOTAL RIESGOS PARA TRATAMIENTO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</w:t>
            </w:r>
          </w:p>
        </w:tc>
      </w:tr>
      <w:tr w:rsidR="000E0B02" w:rsidRPr="000E0B02" w:rsidTr="000E0B02">
        <w:trPr>
          <w:trHeight w:val="495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TOTAL RIESGOS NUEVOS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</w:tr>
      <w:tr w:rsidR="000E0B02" w:rsidRPr="000E0B02" w:rsidTr="000E0B02">
        <w:trPr>
          <w:trHeight w:val="630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ACCIONES DE TRATAMIENTO PROGRAMADAS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476</w:t>
            </w:r>
          </w:p>
        </w:tc>
      </w:tr>
      <w:tr w:rsidR="000E0B02" w:rsidRPr="000E0B02" w:rsidTr="000E0B02">
        <w:trPr>
          <w:trHeight w:val="570"/>
        </w:trPr>
        <w:tc>
          <w:tcPr>
            <w:tcW w:w="21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ACCIONES DE TRATAMIENTO  EJECUTADAS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0E0B0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E0B0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B02" w:rsidRPr="000E0B02" w:rsidRDefault="005A0C42" w:rsidP="000E0B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</w:tr>
    </w:tbl>
    <w:p w:rsidR="00E34038" w:rsidRDefault="00E34038" w:rsidP="00E34038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es-ES"/>
        </w:rPr>
      </w:pPr>
      <w:r w:rsidRPr="00E34038">
        <w:rPr>
          <w:rFonts w:ascii="Arial" w:eastAsia="Calibri" w:hAnsi="Arial" w:cs="Arial"/>
          <w:b/>
          <w:sz w:val="16"/>
          <w:szCs w:val="16"/>
          <w:lang w:val="es-ES"/>
        </w:rPr>
        <w:t>Fuente OAP</w:t>
      </w:r>
    </w:p>
    <w:p w:rsidR="00F539F7" w:rsidRDefault="00F539F7" w:rsidP="00E34038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es-ES"/>
        </w:rPr>
      </w:pPr>
    </w:p>
    <w:p w:rsidR="00F539F7" w:rsidRDefault="00F539F7" w:rsidP="00E34038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es-ES"/>
        </w:rPr>
      </w:pPr>
      <w:r w:rsidRPr="00F539F7">
        <w:drawing>
          <wp:inline distT="0" distB="0" distL="0" distR="0" wp14:anchorId="61391301" wp14:editId="659AF2E4">
            <wp:extent cx="5604734" cy="357153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7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53" w:rsidRPr="00305153" w:rsidRDefault="00F539F7" w:rsidP="000E0B02">
      <w:pPr>
        <w:rPr>
          <w:rFonts w:ascii="Arial" w:hAnsi="Arial" w:cs="Arial"/>
        </w:rPr>
      </w:pPr>
      <w:r w:rsidRPr="00F539F7">
        <w:drawing>
          <wp:inline distT="0" distB="0" distL="0" distR="0" wp14:anchorId="0D56FAC5" wp14:editId="5CDF0FE9">
            <wp:extent cx="5604734" cy="53573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6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153" w:rsidRPr="00305153">
        <w:rPr>
          <w:rFonts w:ascii="Arial" w:hAnsi="Arial" w:cs="Arial"/>
          <w:sz w:val="16"/>
          <w:szCs w:val="16"/>
        </w:rPr>
        <w:t>Fuente: OAP</w:t>
      </w:r>
    </w:p>
    <w:p w:rsidR="00FB411C" w:rsidRDefault="00C4473A">
      <w:pPr>
        <w:rPr>
          <w:lang w:val="es-ES"/>
        </w:rPr>
      </w:pPr>
    </w:p>
    <w:p w:rsidR="001F2DD8" w:rsidRDefault="001F2DD8" w:rsidP="000E27C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FrutigerLTStd-Bold"/>
          <w:bCs/>
          <w:lang w:val="es-ES"/>
        </w:rPr>
      </w:pPr>
    </w:p>
    <w:p w:rsidR="001F2DD8" w:rsidRPr="000E27C3" w:rsidRDefault="001F2DD8" w:rsidP="000E27C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FrutigerLTStd-Bold"/>
          <w:bCs/>
          <w:lang w:val="es-ES"/>
        </w:rPr>
      </w:pPr>
    </w:p>
    <w:p w:rsidR="00305153" w:rsidRDefault="00305153" w:rsidP="00305153">
      <w:pPr>
        <w:spacing w:after="0"/>
        <w:jc w:val="center"/>
      </w:pPr>
      <w:r>
        <w:t>Maria Edilma Campuzano</w:t>
      </w:r>
    </w:p>
    <w:p w:rsidR="00CF682B" w:rsidRDefault="00305153" w:rsidP="00305153">
      <w:pPr>
        <w:spacing w:after="0"/>
        <w:jc w:val="center"/>
      </w:pPr>
      <w:r>
        <w:t xml:space="preserve">Profesional especializado  </w:t>
      </w:r>
    </w:p>
    <w:sectPr w:rsidR="00CF68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3A" w:rsidRDefault="00C4473A" w:rsidP="00CF682B">
      <w:pPr>
        <w:spacing w:after="0" w:line="240" w:lineRule="auto"/>
      </w:pPr>
      <w:r>
        <w:separator/>
      </w:r>
    </w:p>
  </w:endnote>
  <w:endnote w:type="continuationSeparator" w:id="0">
    <w:p w:rsidR="00C4473A" w:rsidRDefault="00C4473A" w:rsidP="00CF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3A" w:rsidRDefault="00C4473A" w:rsidP="00CF682B">
      <w:pPr>
        <w:spacing w:after="0" w:line="240" w:lineRule="auto"/>
      </w:pPr>
      <w:r>
        <w:separator/>
      </w:r>
    </w:p>
  </w:footnote>
  <w:footnote w:type="continuationSeparator" w:id="0">
    <w:p w:rsidR="00C4473A" w:rsidRDefault="00C4473A" w:rsidP="00CF6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A1"/>
    <w:rsid w:val="00001F61"/>
    <w:rsid w:val="00043A22"/>
    <w:rsid w:val="00047CC5"/>
    <w:rsid w:val="00070F20"/>
    <w:rsid w:val="00091376"/>
    <w:rsid w:val="0009481E"/>
    <w:rsid w:val="000B726B"/>
    <w:rsid w:val="000C5BB3"/>
    <w:rsid w:val="000E069B"/>
    <w:rsid w:val="000E0B02"/>
    <w:rsid w:val="000E27C3"/>
    <w:rsid w:val="00100C86"/>
    <w:rsid w:val="0011221C"/>
    <w:rsid w:val="001A033D"/>
    <w:rsid w:val="001B742E"/>
    <w:rsid w:val="001F2DD8"/>
    <w:rsid w:val="00204209"/>
    <w:rsid w:val="00223E2F"/>
    <w:rsid w:val="00237C5E"/>
    <w:rsid w:val="002779F8"/>
    <w:rsid w:val="00305153"/>
    <w:rsid w:val="0032733F"/>
    <w:rsid w:val="00327626"/>
    <w:rsid w:val="00351F8E"/>
    <w:rsid w:val="0035583C"/>
    <w:rsid w:val="003E2649"/>
    <w:rsid w:val="003E46E2"/>
    <w:rsid w:val="00412EA0"/>
    <w:rsid w:val="00476FDB"/>
    <w:rsid w:val="004836EB"/>
    <w:rsid w:val="004B1413"/>
    <w:rsid w:val="004F59EB"/>
    <w:rsid w:val="00505306"/>
    <w:rsid w:val="00517FA3"/>
    <w:rsid w:val="00542908"/>
    <w:rsid w:val="00580A58"/>
    <w:rsid w:val="00597FCF"/>
    <w:rsid w:val="005A0C42"/>
    <w:rsid w:val="005D22A7"/>
    <w:rsid w:val="00622CF0"/>
    <w:rsid w:val="00674EBE"/>
    <w:rsid w:val="0068624B"/>
    <w:rsid w:val="006B34CF"/>
    <w:rsid w:val="006F2936"/>
    <w:rsid w:val="00702859"/>
    <w:rsid w:val="007069A1"/>
    <w:rsid w:val="00730228"/>
    <w:rsid w:val="007444DF"/>
    <w:rsid w:val="00751AA4"/>
    <w:rsid w:val="007E0242"/>
    <w:rsid w:val="008046CF"/>
    <w:rsid w:val="0082094C"/>
    <w:rsid w:val="00854201"/>
    <w:rsid w:val="008F1E04"/>
    <w:rsid w:val="0091437F"/>
    <w:rsid w:val="00937B46"/>
    <w:rsid w:val="00973659"/>
    <w:rsid w:val="009F2DCC"/>
    <w:rsid w:val="00AC14A3"/>
    <w:rsid w:val="00AE5A7D"/>
    <w:rsid w:val="00AF5983"/>
    <w:rsid w:val="00B22020"/>
    <w:rsid w:val="00B45558"/>
    <w:rsid w:val="00B87FFD"/>
    <w:rsid w:val="00B90A4D"/>
    <w:rsid w:val="00BA6298"/>
    <w:rsid w:val="00BB672D"/>
    <w:rsid w:val="00BD6904"/>
    <w:rsid w:val="00C4473A"/>
    <w:rsid w:val="00C707EC"/>
    <w:rsid w:val="00C81596"/>
    <w:rsid w:val="00CA57C9"/>
    <w:rsid w:val="00CF682B"/>
    <w:rsid w:val="00D5502A"/>
    <w:rsid w:val="00D76709"/>
    <w:rsid w:val="00D80B8A"/>
    <w:rsid w:val="00DE6C07"/>
    <w:rsid w:val="00E34038"/>
    <w:rsid w:val="00E64250"/>
    <w:rsid w:val="00E8080B"/>
    <w:rsid w:val="00EF722B"/>
    <w:rsid w:val="00F13ED1"/>
    <w:rsid w:val="00F46B06"/>
    <w:rsid w:val="00F5173D"/>
    <w:rsid w:val="00F539F7"/>
    <w:rsid w:val="00F7558B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9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6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82B"/>
  </w:style>
  <w:style w:type="paragraph" w:styleId="Piedepgina">
    <w:name w:val="footer"/>
    <w:basedOn w:val="Normal"/>
    <w:link w:val="PiedepginaCar"/>
    <w:uiPriority w:val="99"/>
    <w:unhideWhenUsed/>
    <w:rsid w:val="00CF6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9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6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82B"/>
  </w:style>
  <w:style w:type="paragraph" w:styleId="Piedepgina">
    <w:name w:val="footer"/>
    <w:basedOn w:val="Normal"/>
    <w:link w:val="PiedepginaCar"/>
    <w:uiPriority w:val="99"/>
    <w:unhideWhenUsed/>
    <w:rsid w:val="00CF6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s-CO" sz="1000"/>
              <a:t>RIESGO INHERENTE </a:t>
            </a:r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292615450095756E-2"/>
          <c:y val="0.31265425155188936"/>
          <c:w val="0.84256792225296162"/>
          <c:h val="0.59402130289269395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25071733101679777"/>
                  <c:y val="-5.6412900881451573E-2"/>
                </c:manualLayout>
              </c:layout>
              <c:tx>
                <c:rich>
                  <a:bodyPr/>
                  <a:lstStyle/>
                  <a:p>
                    <a:r>
                      <a:rPr lang="en-US" sz="1000" baseline="-25000"/>
                      <a:t>EXTREMO
51%</a:t>
                    </a:r>
                    <a:endParaRPr lang="en-US" sz="9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4815350783854722"/>
                  <c:y val="9.68834451249149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33813349671485593"/>
                  <c:y val="9.812356979405034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000" baseline="-25000"/>
                </a:pPr>
                <a:endParaRPr lang="es-C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RESUMEN!$A$4:$A$7</c:f>
              <c:strCache>
                <c:ptCount val="4"/>
                <c:pt idx="0">
                  <c:v>EXTREMO</c:v>
                </c:pt>
                <c:pt idx="1">
                  <c:v>ALTO</c:v>
                </c:pt>
                <c:pt idx="2">
                  <c:v>MODERADO</c:v>
                </c:pt>
                <c:pt idx="3">
                  <c:v>BAJO</c:v>
                </c:pt>
              </c:strCache>
            </c:strRef>
          </c:cat>
          <c:val>
            <c:numRef>
              <c:f>RESUMEN!$C$4:$C$7</c:f>
              <c:numCache>
                <c:formatCode>0%</c:formatCode>
                <c:ptCount val="4"/>
                <c:pt idx="0">
                  <c:v>0.51094890510948909</c:v>
                </c:pt>
                <c:pt idx="1">
                  <c:v>0.33576642335766421</c:v>
                </c:pt>
                <c:pt idx="2">
                  <c:v>0.13868613138686131</c:v>
                </c:pt>
                <c:pt idx="3">
                  <c:v>1.4598540145985401E-2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s-CO" sz="1000"/>
              <a:t>RIESGO RESIDUAL</a:t>
            </a:r>
          </a:p>
        </c:rich>
      </c:tx>
      <c:overlay val="0"/>
    </c:title>
    <c:autoTitleDeleted val="0"/>
    <c:view3D>
      <c:rotX val="30"/>
      <c:rotY val="65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477105820084245"/>
          <c:w val="1"/>
          <c:h val="0.6831179634394484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-0.37469205581975518"/>
                  <c:y val="3.6236379543466159E-3"/>
                </c:manualLayout>
              </c:layout>
              <c:tx>
                <c:rich>
                  <a:bodyPr/>
                  <a:lstStyle/>
                  <a:p>
                    <a:r>
                      <a:rPr lang="en-US" sz="900" baseline="-250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EXTREMO 
1%</a:t>
                    </a:r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67117538525506"/>
                  <c:y val="1.849730904849014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 baseline="-250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RESUMEN!$A$12:$A$15</c:f>
              <c:strCache>
                <c:ptCount val="4"/>
                <c:pt idx="0">
                  <c:v>EXTREMO </c:v>
                </c:pt>
                <c:pt idx="1">
                  <c:v>ALTO</c:v>
                </c:pt>
                <c:pt idx="2">
                  <c:v>MODERADO</c:v>
                </c:pt>
                <c:pt idx="3">
                  <c:v>BAJO</c:v>
                </c:pt>
              </c:strCache>
            </c:strRef>
          </c:cat>
          <c:val>
            <c:numRef>
              <c:f>RESUMEN!$C$12:$C$15</c:f>
              <c:numCache>
                <c:formatCode>0%</c:formatCode>
                <c:ptCount val="4"/>
                <c:pt idx="0">
                  <c:v>7.2992700729927005E-3</c:v>
                </c:pt>
                <c:pt idx="1">
                  <c:v>8.7591240875912413E-2</c:v>
                </c:pt>
                <c:pt idx="2">
                  <c:v>0.67153284671532842</c:v>
                </c:pt>
                <c:pt idx="3">
                  <c:v>0.23357664233576642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Edilma Campuzano Rojas</dc:creator>
  <cp:lastModifiedBy>Maria Edilma Campuzano Rojas</cp:lastModifiedBy>
  <cp:revision>24</cp:revision>
  <dcterms:created xsi:type="dcterms:W3CDTF">2018-02-09T18:27:00Z</dcterms:created>
  <dcterms:modified xsi:type="dcterms:W3CDTF">2018-02-14T19:06:00Z</dcterms:modified>
</cp:coreProperties>
</file>