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drawings/drawing11.xml" ContentType="application/vnd.openxmlformats-officedocument.drawingml.chartshapes+xml"/>
  <Override PartName="/word/charts/chart13.xml" ContentType="application/vnd.openxmlformats-officedocument.drawingml.chart+xml"/>
  <Override PartName="/word/drawings/drawing12.xml" ContentType="application/vnd.openxmlformats-officedocument.drawingml.chartshapes+xml"/>
  <Override PartName="/word/charts/chart14.xml" ContentType="application/vnd.openxmlformats-officedocument.drawingml.chart+xml"/>
  <Override PartName="/word/drawings/drawing13.xml" ContentType="application/vnd.openxmlformats-officedocument.drawingml.chartshapes+xml"/>
  <Override PartName="/word/charts/chart15.xml" ContentType="application/vnd.openxmlformats-officedocument.drawingml.chart+xml"/>
  <Override PartName="/word/drawings/drawing14.xml" ContentType="application/vnd.openxmlformats-officedocument.drawingml.chartshapes+xml"/>
  <Override PartName="/word/charts/chart16.xml" ContentType="application/vnd.openxmlformats-officedocument.drawingml.chart+xml"/>
  <Override PartName="/word/drawings/drawing15.xml" ContentType="application/vnd.openxmlformats-officedocument.drawingml.chartshapes+xml"/>
  <Override PartName="/word/charts/chart17.xml" ContentType="application/vnd.openxmlformats-officedocument.drawingml.chart+xml"/>
  <Override PartName="/word/drawings/drawing16.xml" ContentType="application/vnd.openxmlformats-officedocument.drawingml.chartshapes+xml"/>
  <Override PartName="/word/charts/chart18.xml" ContentType="application/vnd.openxmlformats-officedocument.drawingml.chart+xml"/>
  <Override PartName="/word/drawings/drawing17.xml" ContentType="application/vnd.openxmlformats-officedocument.drawingml.chartshapes+xml"/>
  <Override PartName="/word/charts/chart19.xml" ContentType="application/vnd.openxmlformats-officedocument.drawingml.chart+xml"/>
  <Override PartName="/word/drawings/drawing18.xml" ContentType="application/vnd.openxmlformats-officedocument.drawingml.chartshapes+xml"/>
  <Override PartName="/word/charts/chart20.xml" ContentType="application/vnd.openxmlformats-officedocument.drawingml.chart+xml"/>
  <Override PartName="/word/drawings/drawing19.xml" ContentType="application/vnd.openxmlformats-officedocument.drawingml.chartshapes+xml"/>
  <Override PartName="/word/charts/chart21.xml" ContentType="application/vnd.openxmlformats-officedocument.drawingml.chart+xml"/>
  <Override PartName="/word/drawings/drawing20.xml" ContentType="application/vnd.openxmlformats-officedocument.drawingml.chartshapes+xml"/>
  <Override PartName="/word/charts/chart22.xml" ContentType="application/vnd.openxmlformats-officedocument.drawingml.chart+xml"/>
  <Override PartName="/word/drawings/drawing21.xml" ContentType="application/vnd.openxmlformats-officedocument.drawingml.chartshapes+xml"/>
  <Override PartName="/word/charts/chart23.xml" ContentType="application/vnd.openxmlformats-officedocument.drawingml.chart+xml"/>
  <Override PartName="/word/drawings/drawing22.xml" ContentType="application/vnd.openxmlformats-officedocument.drawingml.chartshapes+xml"/>
  <Override PartName="/word/charts/chart24.xml" ContentType="application/vnd.openxmlformats-officedocument.drawingml.chart+xml"/>
  <Override PartName="/word/drawings/drawing23.xml" ContentType="application/vnd.openxmlformats-officedocument.drawingml.chartshapes+xml"/>
  <Override PartName="/word/charts/chart25.xml" ContentType="application/vnd.openxmlformats-officedocument.drawingml.chart+xml"/>
  <Override PartName="/word/drawings/drawing24.xml" ContentType="application/vnd.openxmlformats-officedocument.drawingml.chartshapes+xml"/>
  <Override PartName="/word/charts/chart26.xml" ContentType="application/vnd.openxmlformats-officedocument.drawingml.chart+xml"/>
  <Override PartName="/word/drawings/drawing25.xml" ContentType="application/vnd.openxmlformats-officedocument.drawingml.chartshapes+xml"/>
  <Override PartName="/word/charts/chart27.xml" ContentType="application/vnd.openxmlformats-officedocument.drawingml.chart+xml"/>
  <Override PartName="/word/drawings/drawing26.xml" ContentType="application/vnd.openxmlformats-officedocument.drawingml.chartshapes+xml"/>
  <Override PartName="/word/charts/chart28.xml" ContentType="application/vnd.openxmlformats-officedocument.drawingml.chart+xml"/>
  <Override PartName="/word/drawings/drawing27.xml" ContentType="application/vnd.openxmlformats-officedocument.drawingml.chartshapes+xml"/>
  <Override PartName="/word/charts/chart29.xml" ContentType="application/vnd.openxmlformats-officedocument.drawingml.chart+xml"/>
  <Override PartName="/word/drawings/drawing28.xml" ContentType="application/vnd.openxmlformats-officedocument.drawingml.chartshapes+xml"/>
  <Override PartName="/word/charts/chart30.xml" ContentType="application/vnd.openxmlformats-officedocument.drawingml.chart+xml"/>
  <Override PartName="/word/drawings/drawing29.xml" ContentType="application/vnd.openxmlformats-officedocument.drawingml.chartshapes+xml"/>
  <Override PartName="/word/charts/chart31.xml" ContentType="application/vnd.openxmlformats-officedocument.drawingml.chart+xml"/>
  <Override PartName="/word/drawings/drawing30.xml" ContentType="application/vnd.openxmlformats-officedocument.drawingml.chartshapes+xml"/>
  <Override PartName="/word/charts/chart32.xml" ContentType="application/vnd.openxmlformats-officedocument.drawingml.chart+xml"/>
  <Override PartName="/word/drawings/drawing31.xml" ContentType="application/vnd.openxmlformats-officedocument.drawingml.chartshapes+xml"/>
  <Override PartName="/word/charts/chart33.xml" ContentType="application/vnd.openxmlformats-officedocument.drawingml.chart+xml"/>
  <Override PartName="/word/drawings/drawing32.xml" ContentType="application/vnd.openxmlformats-officedocument.drawingml.chartshapes+xml"/>
  <Override PartName="/word/charts/chart34.xml" ContentType="application/vnd.openxmlformats-officedocument.drawingml.chart+xml"/>
  <Override PartName="/word/drawings/drawing33.xml" ContentType="application/vnd.openxmlformats-officedocument.drawingml.chartshapes+xml"/>
  <Override PartName="/word/charts/chart35.xml" ContentType="application/vnd.openxmlformats-officedocument.drawingml.chart+xml"/>
  <Override PartName="/word/drawings/drawing34.xml" ContentType="application/vnd.openxmlformats-officedocument.drawingml.chartshapes+xml"/>
  <Override PartName="/word/charts/chart36.xml" ContentType="application/vnd.openxmlformats-officedocument.drawingml.chart+xml"/>
  <Override PartName="/word/drawings/drawing35.xml" ContentType="application/vnd.openxmlformats-officedocument.drawingml.chartshapes+xml"/>
  <Override PartName="/word/charts/chart37.xml" ContentType="application/vnd.openxmlformats-officedocument.drawingml.chart+xml"/>
  <Override PartName="/word/drawings/drawing36.xml" ContentType="application/vnd.openxmlformats-officedocument.drawingml.chartshapes+xml"/>
  <Override PartName="/word/charts/chart38.xml" ContentType="application/vnd.openxmlformats-officedocument.drawingml.chart+xml"/>
  <Override PartName="/word/drawings/drawing37.xml" ContentType="application/vnd.openxmlformats-officedocument.drawingml.chartshapes+xml"/>
  <Override PartName="/word/charts/chart39.xml" ContentType="application/vnd.openxmlformats-officedocument.drawingml.chart+xml"/>
  <Override PartName="/word/drawings/drawing38.xml" ContentType="application/vnd.openxmlformats-officedocument.drawingml.chartshapes+xml"/>
  <Override PartName="/word/charts/chart40.xml" ContentType="application/vnd.openxmlformats-officedocument.drawingml.chart+xml"/>
  <Override PartName="/word/drawings/drawing39.xml" ContentType="application/vnd.openxmlformats-officedocument.drawingml.chartshapes+xml"/>
  <Override PartName="/word/charts/chart41.xml" ContentType="application/vnd.openxmlformats-officedocument.drawingml.chart+xml"/>
  <Override PartName="/word/drawings/drawing40.xml" ContentType="application/vnd.openxmlformats-officedocument.drawingml.chartshapes+xml"/>
  <Override PartName="/word/charts/chart42.xml" ContentType="application/vnd.openxmlformats-officedocument.drawingml.chart+xml"/>
  <Override PartName="/word/drawings/drawing41.xml" ContentType="application/vnd.openxmlformats-officedocument.drawingml.chartshapes+xml"/>
  <Override PartName="/word/charts/chart43.xml" ContentType="application/vnd.openxmlformats-officedocument.drawingml.chart+xml"/>
  <Override PartName="/word/drawings/drawing42.xml" ContentType="application/vnd.openxmlformats-officedocument.drawingml.chartshapes+xml"/>
  <Override PartName="/word/charts/chart44.xml" ContentType="application/vnd.openxmlformats-officedocument.drawingml.chart+xml"/>
  <Override PartName="/word/drawings/drawing43.xml" ContentType="application/vnd.openxmlformats-officedocument.drawingml.chartshapes+xml"/>
  <Override PartName="/word/charts/chart45.xml" ContentType="application/vnd.openxmlformats-officedocument.drawingml.chart+xml"/>
  <Override PartName="/word/drawings/drawing44.xml" ContentType="application/vnd.openxmlformats-officedocument.drawingml.chartshapes+xml"/>
  <Override PartName="/word/charts/chart46.xml" ContentType="application/vnd.openxmlformats-officedocument.drawingml.chart+xml"/>
  <Override PartName="/word/drawings/drawing45.xml" ContentType="application/vnd.openxmlformats-officedocument.drawingml.chartshapes+xml"/>
  <Override PartName="/word/charts/chart47.xml" ContentType="application/vnd.openxmlformats-officedocument.drawingml.chart+xml"/>
  <Override PartName="/word/drawings/drawing46.xml" ContentType="application/vnd.openxmlformats-officedocument.drawingml.chartshapes+xml"/>
  <Override PartName="/word/charts/chart48.xml" ContentType="application/vnd.openxmlformats-officedocument.drawingml.chart+xml"/>
  <Override PartName="/word/drawings/drawing47.xml" ContentType="application/vnd.openxmlformats-officedocument.drawingml.chartshapes+xml"/>
  <Override PartName="/word/charts/chart49.xml" ContentType="application/vnd.openxmlformats-officedocument.drawingml.chart+xml"/>
  <Override PartName="/word/drawings/drawing48.xml" ContentType="application/vnd.openxmlformats-officedocument.drawingml.chartshapes+xml"/>
  <Override PartName="/word/charts/chart50.xml" ContentType="application/vnd.openxmlformats-officedocument.drawingml.chart+xml"/>
  <Override PartName="/word/drawings/drawing49.xml" ContentType="application/vnd.openxmlformats-officedocument.drawingml.chartshapes+xml"/>
  <Override PartName="/word/charts/chart51.xml" ContentType="application/vnd.openxmlformats-officedocument.drawingml.chart+xml"/>
  <Override PartName="/word/drawings/drawing50.xml" ContentType="application/vnd.openxmlformats-officedocument.drawingml.chartshapes+xml"/>
  <Override PartName="/word/charts/chart52.xml" ContentType="application/vnd.openxmlformats-officedocument.drawingml.chart+xml"/>
  <Override PartName="/word/drawings/drawing51.xml" ContentType="application/vnd.openxmlformats-officedocument.drawingml.chartshapes+xml"/>
  <Override PartName="/word/charts/chart53.xml" ContentType="application/vnd.openxmlformats-officedocument.drawingml.chart+xml"/>
  <Override PartName="/word/drawings/drawing52.xml" ContentType="application/vnd.openxmlformats-officedocument.drawingml.chartshapes+xml"/>
  <Override PartName="/word/charts/chart54.xml" ContentType="application/vnd.openxmlformats-officedocument.drawingml.chart+xml"/>
  <Override PartName="/word/drawings/drawing53.xml" ContentType="application/vnd.openxmlformats-officedocument.drawingml.chartshapes+xml"/>
  <Override PartName="/word/charts/chart55.xml" ContentType="application/vnd.openxmlformats-officedocument.drawingml.chart+xml"/>
  <Override PartName="/word/drawings/drawing54.xml" ContentType="application/vnd.openxmlformats-officedocument.drawingml.chartshapes+xml"/>
  <Override PartName="/word/charts/chart56.xml" ContentType="application/vnd.openxmlformats-officedocument.drawingml.chart+xml"/>
  <Override PartName="/word/drawings/drawing55.xml" ContentType="application/vnd.openxmlformats-officedocument.drawingml.chartshapes+xml"/>
  <Override PartName="/word/charts/chart57.xml" ContentType="application/vnd.openxmlformats-officedocument.drawingml.chart+xml"/>
  <Override PartName="/word/drawings/drawing56.xml" ContentType="application/vnd.openxmlformats-officedocument.drawingml.chartshapes+xml"/>
  <Override PartName="/word/charts/chart58.xml" ContentType="application/vnd.openxmlformats-officedocument.drawingml.chart+xml"/>
  <Override PartName="/word/drawings/drawing57.xml" ContentType="application/vnd.openxmlformats-officedocument.drawingml.chartshapes+xml"/>
  <Override PartName="/word/charts/chart59.xml" ContentType="application/vnd.openxmlformats-officedocument.drawingml.chart+xml"/>
  <Override PartName="/word/drawings/drawing58.xml" ContentType="application/vnd.openxmlformats-officedocument.drawingml.chartshapes+xml"/>
  <Override PartName="/word/charts/chart60.xml" ContentType="application/vnd.openxmlformats-officedocument.drawingml.chart+xml"/>
  <Override PartName="/word/drawings/drawing59.xml" ContentType="application/vnd.openxmlformats-officedocument.drawingml.chartshapes+xml"/>
  <Override PartName="/word/charts/chart61.xml" ContentType="application/vnd.openxmlformats-officedocument.drawingml.chart+xml"/>
  <Override PartName="/word/drawings/drawing60.xml" ContentType="application/vnd.openxmlformats-officedocument.drawingml.chartshapes+xml"/>
  <Override PartName="/word/charts/chart62.xml" ContentType="application/vnd.openxmlformats-officedocument.drawingml.chart+xml"/>
  <Override PartName="/word/drawings/drawing61.xml" ContentType="application/vnd.openxmlformats-officedocument.drawingml.chartshapes+xml"/>
  <Override PartName="/word/charts/chart63.xml" ContentType="application/vnd.openxmlformats-officedocument.drawingml.chart+xml"/>
  <Override PartName="/word/drawings/drawing62.xml" ContentType="application/vnd.openxmlformats-officedocument.drawingml.chartshapes+xml"/>
  <Override PartName="/word/charts/chart64.xml" ContentType="application/vnd.openxmlformats-officedocument.drawingml.chart+xml"/>
  <Override PartName="/word/drawings/drawing63.xml" ContentType="application/vnd.openxmlformats-officedocument.drawingml.chartshapes+xml"/>
  <Override PartName="/word/charts/chart65.xml" ContentType="application/vnd.openxmlformats-officedocument.drawingml.chart+xml"/>
  <Override PartName="/word/drawings/drawing6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A9" w:rsidRDefault="00F849A9" w:rsidP="00F849A9">
      <w:pPr>
        <w:jc w:val="center"/>
        <w:rPr>
          <w:rFonts w:ascii="Trebuchet MS" w:hAnsi="Trebuchet MS"/>
          <w:b/>
          <w:bCs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b/>
          <w:bCs/>
          <w:sz w:val="28"/>
          <w:szCs w:val="28"/>
        </w:rPr>
        <w:t>Seguimiento Plan de Acción I</w:t>
      </w:r>
      <w:r w:rsidR="00294607">
        <w:rPr>
          <w:rFonts w:ascii="Trebuchet MS" w:hAnsi="Trebuchet MS"/>
          <w:b/>
          <w:bCs/>
          <w:sz w:val="28"/>
          <w:szCs w:val="28"/>
        </w:rPr>
        <w:t xml:space="preserve">II Bimestre </w:t>
      </w:r>
      <w:r w:rsidRPr="00F849A9">
        <w:rPr>
          <w:rFonts w:ascii="Trebuchet MS" w:hAnsi="Trebuchet MS"/>
          <w:b/>
          <w:bCs/>
          <w:sz w:val="28"/>
          <w:szCs w:val="28"/>
        </w:rPr>
        <w:t>2016</w:t>
      </w:r>
    </w:p>
    <w:p w:rsidR="00F849A9" w:rsidRPr="00F849A9" w:rsidRDefault="00F849A9" w:rsidP="00F849A9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Instituto Colombiano Agropecuario - ICA</w:t>
      </w:r>
    </w:p>
    <w:p w:rsidR="00F849A9" w:rsidRDefault="00F849A9" w:rsidP="00F849A9">
      <w:pPr>
        <w:jc w:val="both"/>
        <w:rPr>
          <w:rFonts w:ascii="Trebuchet MS" w:hAnsi="Trebuchet MS"/>
          <w:b/>
          <w:sz w:val="28"/>
          <w:szCs w:val="28"/>
        </w:rPr>
      </w:pPr>
    </w:p>
    <w:p w:rsidR="00F849A9" w:rsidRPr="00F849A9" w:rsidRDefault="00F849A9" w:rsidP="00F849A9">
      <w:pPr>
        <w:jc w:val="both"/>
        <w:rPr>
          <w:rFonts w:ascii="Trebuchet MS" w:hAnsi="Trebuchet MS"/>
          <w:sz w:val="20"/>
          <w:szCs w:val="20"/>
        </w:rPr>
      </w:pPr>
      <w:r w:rsidRPr="00F849A9">
        <w:rPr>
          <w:rFonts w:ascii="Trebuchet MS" w:hAnsi="Trebuchet MS"/>
          <w:sz w:val="20"/>
          <w:szCs w:val="20"/>
        </w:rPr>
        <w:t>Este documento presenta la información de seguimiento a la gestión</w:t>
      </w:r>
      <w:r w:rsidR="000E3C70">
        <w:rPr>
          <w:rFonts w:ascii="Trebuchet MS" w:hAnsi="Trebuchet MS"/>
          <w:sz w:val="20"/>
          <w:szCs w:val="20"/>
        </w:rPr>
        <w:t xml:space="preserve"> de las acciones estratégicas del Plan de Acción </w:t>
      </w:r>
      <w:r w:rsidRPr="00F849A9">
        <w:rPr>
          <w:rFonts w:ascii="Trebuchet MS" w:hAnsi="Trebuchet MS"/>
          <w:sz w:val="20"/>
          <w:szCs w:val="20"/>
        </w:rPr>
        <w:t xml:space="preserve">del Instituto Colombiano Agropecuario a </w:t>
      </w:r>
      <w:r>
        <w:rPr>
          <w:rFonts w:ascii="Trebuchet MS" w:hAnsi="Trebuchet MS"/>
          <w:sz w:val="20"/>
          <w:szCs w:val="20"/>
        </w:rPr>
        <w:t>Junio</w:t>
      </w:r>
      <w:r w:rsidRPr="00F849A9">
        <w:rPr>
          <w:rFonts w:ascii="Trebuchet MS" w:hAnsi="Trebuchet MS"/>
          <w:sz w:val="20"/>
          <w:szCs w:val="20"/>
        </w:rPr>
        <w:t xml:space="preserve"> de 2016, registrada por cada una de las Gerencias Seccionales en el módulo </w:t>
      </w:r>
      <w:r w:rsidRPr="00F849A9">
        <w:rPr>
          <w:rFonts w:ascii="Trebuchet MS" w:hAnsi="Trebuchet MS"/>
          <w:i/>
          <w:iCs/>
          <w:sz w:val="20"/>
          <w:szCs w:val="20"/>
        </w:rPr>
        <w:t>Plan de Acción del Sistema de programación y Seguimiento y en la matriz para la formulación y seguimiento a la Planeación Institucional</w:t>
      </w:r>
      <w:r w:rsidRPr="00F849A9">
        <w:rPr>
          <w:rFonts w:ascii="Trebuchet MS" w:hAnsi="Trebuchet MS"/>
          <w:sz w:val="20"/>
          <w:szCs w:val="20"/>
        </w:rPr>
        <w:t>, y el análisis que realiza la Oficina Asesora de Planeación del ICA.</w:t>
      </w:r>
    </w:p>
    <w:p w:rsidR="00F849A9" w:rsidRPr="00492DA7" w:rsidRDefault="00F849A9" w:rsidP="00492DA7">
      <w:pPr>
        <w:jc w:val="both"/>
        <w:rPr>
          <w:rFonts w:ascii="Trebuchet MS" w:hAnsi="Trebuchet MS"/>
          <w:sz w:val="20"/>
          <w:szCs w:val="20"/>
        </w:rPr>
      </w:pPr>
      <w:r w:rsidRPr="00F849A9">
        <w:rPr>
          <w:rFonts w:ascii="Trebuchet MS" w:hAnsi="Trebuchet MS"/>
          <w:sz w:val="20"/>
          <w:szCs w:val="20"/>
        </w:rPr>
        <w:t>En es</w:t>
      </w:r>
      <w:r w:rsidR="000E3C70">
        <w:rPr>
          <w:rFonts w:ascii="Trebuchet MS" w:hAnsi="Trebuchet MS"/>
          <w:sz w:val="20"/>
          <w:szCs w:val="20"/>
        </w:rPr>
        <w:t>t</w:t>
      </w:r>
      <w:r w:rsidRPr="00F849A9">
        <w:rPr>
          <w:rFonts w:ascii="Trebuchet MS" w:hAnsi="Trebuchet MS"/>
          <w:sz w:val="20"/>
          <w:szCs w:val="20"/>
        </w:rPr>
        <w:t>e orden</w:t>
      </w:r>
      <w:r w:rsidR="000E3C70">
        <w:rPr>
          <w:rFonts w:ascii="Trebuchet MS" w:hAnsi="Trebuchet MS"/>
          <w:sz w:val="20"/>
          <w:szCs w:val="20"/>
        </w:rPr>
        <w:t xml:space="preserve"> de ideas</w:t>
      </w:r>
      <w:r w:rsidRPr="00F849A9">
        <w:rPr>
          <w:rFonts w:ascii="Trebuchet MS" w:hAnsi="Trebuchet MS"/>
          <w:sz w:val="20"/>
          <w:szCs w:val="20"/>
        </w:rPr>
        <w:t xml:space="preserve">, </w:t>
      </w:r>
      <w:r w:rsidR="000E3C70">
        <w:rPr>
          <w:rFonts w:ascii="Trebuchet MS" w:hAnsi="Trebuchet MS"/>
          <w:sz w:val="20"/>
          <w:szCs w:val="20"/>
        </w:rPr>
        <w:t>por medio de este documento se pretende mostrar el cumplimento del Plan de Acción desde la parte pecuaria, agrícola, fronteriza y de laboratorios, destacando algunas las acciones estratégica de cada seccional por su cumplimiento.</w:t>
      </w:r>
      <w:r w:rsidR="00492DA7">
        <w:rPr>
          <w:rFonts w:ascii="Trebuchet MS" w:hAnsi="Trebuchet MS"/>
          <w:sz w:val="20"/>
          <w:szCs w:val="20"/>
        </w:rPr>
        <w:t xml:space="preserve"> Además,  se muestra el desempeño del plan de acción de las seccionales con respecto al presupuesto comprometido hasta el primer semestre de la vigencia actual.  </w:t>
      </w:r>
    </w:p>
    <w:p w:rsidR="00F849A9" w:rsidRPr="00771391" w:rsidRDefault="00F849A9" w:rsidP="00F849A9">
      <w:pPr>
        <w:jc w:val="center"/>
        <w:rPr>
          <w:rFonts w:ascii="Trebuchet MS" w:hAnsi="Trebuchet MS"/>
          <w:b/>
          <w:sz w:val="20"/>
          <w:szCs w:val="20"/>
        </w:rPr>
      </w:pPr>
      <w:r w:rsidRPr="00771391">
        <w:rPr>
          <w:rFonts w:ascii="Trebuchet MS" w:hAnsi="Trebuchet MS"/>
          <w:b/>
          <w:bCs/>
          <w:sz w:val="20"/>
          <w:szCs w:val="20"/>
        </w:rPr>
        <w:t>RESULTADOS PLAN DE ACCION INSTITUTO COLOMBIANO AGROPECUARIO ICA</w:t>
      </w:r>
    </w:p>
    <w:p w:rsidR="00F849A9" w:rsidRPr="00771391" w:rsidRDefault="00F849A9" w:rsidP="00F849A9">
      <w:pPr>
        <w:jc w:val="center"/>
        <w:rPr>
          <w:rFonts w:ascii="Trebuchet MS" w:hAnsi="Trebuchet MS"/>
          <w:b/>
          <w:sz w:val="20"/>
          <w:szCs w:val="20"/>
        </w:rPr>
      </w:pPr>
      <w:r w:rsidRPr="00771391">
        <w:rPr>
          <w:rFonts w:ascii="Trebuchet MS" w:hAnsi="Trebuchet MS"/>
          <w:b/>
          <w:bCs/>
          <w:sz w:val="20"/>
          <w:szCs w:val="20"/>
        </w:rPr>
        <w:t>I Semestre 2016</w:t>
      </w:r>
    </w:p>
    <w:tbl>
      <w:tblPr>
        <w:tblStyle w:val="Cuadrculamedia1-nfasis3"/>
        <w:tblW w:w="9322" w:type="dxa"/>
        <w:tblLook w:val="04A0" w:firstRow="1" w:lastRow="0" w:firstColumn="1" w:lastColumn="0" w:noHBand="0" w:noVBand="1"/>
      </w:tblPr>
      <w:tblGrid>
        <w:gridCol w:w="1321"/>
        <w:gridCol w:w="1284"/>
        <w:gridCol w:w="632"/>
        <w:gridCol w:w="1179"/>
        <w:gridCol w:w="2490"/>
        <w:gridCol w:w="2416"/>
      </w:tblGrid>
      <w:tr w:rsidR="00C05990" w:rsidRPr="00FE5D99" w:rsidTr="00430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t>SUBGERENCIAS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t>PONDERACION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t>META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t>RESULTADO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A" w:rsidRPr="00FD5485" w:rsidRDefault="0027094A" w:rsidP="00FD5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t>FORMULA</w:t>
            </w: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br/>
              <w:t>(Resultado*Ponderación/Meta)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A" w:rsidRPr="00FD5485" w:rsidRDefault="0027094A" w:rsidP="00FD5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t>Plan de Acción ICA</w:t>
            </w:r>
            <w:r w:rsidRPr="00FD5485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es-CO"/>
              </w:rPr>
              <w:br/>
              <w:t>I Semestre</w:t>
            </w:r>
          </w:p>
        </w:tc>
      </w:tr>
      <w:tr w:rsidR="00C05990" w:rsidRPr="00FE5D99" w:rsidTr="0043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27094A" w:rsidRDefault="0027094A" w:rsidP="00FD5485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27094A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Sub. Animal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30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100</w:t>
            </w:r>
            <w:r w:rsidR="00492DA7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94A" w:rsidRPr="00FD5485" w:rsidRDefault="00683D39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48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94A" w:rsidRPr="00FD5485" w:rsidRDefault="00683D39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14.4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725D93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45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</w:tr>
      <w:tr w:rsidR="00C05990" w:rsidRPr="00FE5D99" w:rsidTr="00430E6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27094A" w:rsidRDefault="0027094A" w:rsidP="00FD5485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27094A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Sub. Vegetal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30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100</w:t>
            </w:r>
            <w:r w:rsidR="00492DA7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94A" w:rsidRPr="00FD5485" w:rsidRDefault="007E46D8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highlight w:val="yellow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42</w:t>
            </w:r>
            <w:r w:rsidR="00725D93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.8</w:t>
            </w: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94A" w:rsidRPr="00FD5485" w:rsidRDefault="00725D93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highlight w:val="yellow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12.8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</w:p>
        </w:tc>
      </w:tr>
      <w:tr w:rsidR="00C05990" w:rsidRPr="00FE5D99" w:rsidTr="0043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27094A" w:rsidRDefault="0027094A" w:rsidP="00FD5485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27094A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Sub. Fronteras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20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100</w:t>
            </w:r>
            <w:r w:rsidR="00492DA7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47812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42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8C7223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8.4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</w:p>
        </w:tc>
      </w:tr>
      <w:tr w:rsidR="00C05990" w:rsidRPr="00FE5D99" w:rsidTr="00430E6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A" w:rsidRPr="0027094A" w:rsidRDefault="0027094A" w:rsidP="00FD5485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27094A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 xml:space="preserve">Sub. </w:t>
            </w:r>
            <w:r w:rsidRPr="00FE5D9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Análisis</w:t>
            </w:r>
            <w:r w:rsidRPr="0027094A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 xml:space="preserve"> y </w:t>
            </w:r>
            <w:r w:rsidRPr="00FE5D99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Diagnósticos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20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100</w:t>
            </w:r>
            <w:r w:rsidR="00492DA7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5811A5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47</w:t>
            </w:r>
            <w:r w:rsidR="00435F55"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94A" w:rsidRPr="00FD5485" w:rsidRDefault="005811A5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  <w:r w:rsidRPr="00FD5485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  <w:t>9.4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A" w:rsidRPr="00FD5485" w:rsidRDefault="0027094A" w:rsidP="00FD5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es-CO"/>
              </w:rPr>
            </w:pPr>
          </w:p>
        </w:tc>
      </w:tr>
    </w:tbl>
    <w:p w:rsidR="00F849A9" w:rsidRDefault="00F849A9" w:rsidP="00F849A9">
      <w:pPr>
        <w:jc w:val="center"/>
        <w:rPr>
          <w:rFonts w:ascii="Trebuchet MS" w:hAnsi="Trebuchet MS"/>
          <w:b/>
          <w:sz w:val="28"/>
          <w:szCs w:val="28"/>
        </w:rPr>
      </w:pPr>
    </w:p>
    <w:p w:rsidR="00F849A9" w:rsidRDefault="00492DA7" w:rsidP="00435F55">
      <w:pPr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B074E" wp14:editId="39E42835">
                <wp:simplePos x="0" y="0"/>
                <wp:positionH relativeFrom="column">
                  <wp:posOffset>3849674</wp:posOffset>
                </wp:positionH>
                <wp:positionV relativeFrom="paragraph">
                  <wp:posOffset>608744</wp:posOffset>
                </wp:positionV>
                <wp:extent cx="1932167" cy="1129030"/>
                <wp:effectExtent l="57150" t="19050" r="68580" b="90170"/>
                <wp:wrapNone/>
                <wp:docPr id="67" name="6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11290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AE5" w:rsidRPr="00401B83" w:rsidRDefault="004E0AE5" w:rsidP="00435F5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1B83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401B83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% Cumplimiento Plan Acción I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401B83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emestre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7 Rectángulo" o:spid="_x0000_s1026" style="position:absolute;margin-left:303.1pt;margin-top:47.95pt;width:152.15pt;height:8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E0AE5" w:rsidRPr="00401B83" w:rsidRDefault="004E0AE5" w:rsidP="00435F55">
                      <w:pPr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01B83"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401B83"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% Cumplimiento Plan Acción I </w:t>
                      </w: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401B83"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</w:rPr>
                        <w:t>emestre 2016</w:t>
                      </w:r>
                    </w:p>
                  </w:txbxContent>
                </v:textbox>
              </v:rect>
            </w:pict>
          </mc:Fallback>
        </mc:AlternateContent>
      </w:r>
      <w:r w:rsidR="00C0599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2BA6E" wp14:editId="7226EFD1">
                <wp:simplePos x="0" y="0"/>
                <wp:positionH relativeFrom="column">
                  <wp:posOffset>3271520</wp:posOffset>
                </wp:positionH>
                <wp:positionV relativeFrom="paragraph">
                  <wp:posOffset>995680</wp:posOffset>
                </wp:positionV>
                <wp:extent cx="476885" cy="413385"/>
                <wp:effectExtent l="76200" t="76200" r="75565" b="120015"/>
                <wp:wrapNone/>
                <wp:docPr id="66" name="6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41338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66 Flecha derecha" o:spid="_x0000_s1026" type="#_x0000_t13" style="position:absolute;margin-left:257.6pt;margin-top:78.4pt;width:37.5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" adj="12238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435F55">
        <w:rPr>
          <w:noProof/>
          <w:lang w:eastAsia="es-CO"/>
        </w:rPr>
        <w:drawing>
          <wp:inline distT="0" distB="0" distL="0" distR="0" wp14:anchorId="2DC3CA61" wp14:editId="335A1B6A">
            <wp:extent cx="3019425" cy="2314575"/>
            <wp:effectExtent l="57150" t="19050" r="47625" b="66675"/>
            <wp:docPr id="65" name="Gráfico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2FF8" w:rsidRDefault="00B8498D" w:rsidP="00B8498D">
      <w:pPr>
        <w:jc w:val="center"/>
        <w:rPr>
          <w:rFonts w:ascii="Trebuchet MS" w:hAnsi="Trebuchet MS"/>
          <w:b/>
          <w:sz w:val="28"/>
          <w:szCs w:val="28"/>
        </w:rPr>
      </w:pPr>
      <w:r w:rsidRPr="00B8498D">
        <w:rPr>
          <w:rFonts w:ascii="Trebuchet MS" w:hAnsi="Trebuchet MS"/>
          <w:b/>
          <w:sz w:val="28"/>
          <w:szCs w:val="28"/>
        </w:rPr>
        <w:lastRenderedPageBreak/>
        <w:t>GERENCIA  SECCIONAL ATLÁNTICO</w:t>
      </w:r>
    </w:p>
    <w:p w:rsidR="00C67AB1" w:rsidRDefault="000836BA" w:rsidP="004638B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Teniendo en cuenta el avance del Primer Semestre del año vigente, la seccional Atlántico ha tenido un cumplimiento </w:t>
      </w:r>
      <w:r w:rsidR="00C34E50" w:rsidRPr="00C34E50">
        <w:rPr>
          <w:rFonts w:ascii="Trebuchet MS" w:hAnsi="Trebuchet MS"/>
          <w:sz w:val="16"/>
          <w:szCs w:val="16"/>
        </w:rPr>
        <w:t>del</w:t>
      </w:r>
      <w:r w:rsidR="00194365">
        <w:rPr>
          <w:rFonts w:ascii="Trebuchet MS" w:hAnsi="Trebuchet MS"/>
          <w:sz w:val="16"/>
          <w:szCs w:val="16"/>
        </w:rPr>
        <w:t xml:space="preserve"> </w:t>
      </w:r>
      <w:r w:rsidR="00C34E50" w:rsidRPr="00C34E50">
        <w:rPr>
          <w:rFonts w:ascii="Trebuchet MS" w:hAnsi="Trebuchet MS"/>
          <w:sz w:val="16"/>
          <w:szCs w:val="16"/>
        </w:rPr>
        <w:t xml:space="preserve"> </w:t>
      </w:r>
      <w:r w:rsidR="00C34E50" w:rsidRPr="00D323EA">
        <w:rPr>
          <w:rFonts w:ascii="Trebuchet MS" w:hAnsi="Trebuchet MS"/>
          <w:b/>
          <w:sz w:val="16"/>
          <w:szCs w:val="16"/>
        </w:rPr>
        <w:t>4</w:t>
      </w:r>
      <w:r w:rsidR="00247812" w:rsidRPr="00D323EA">
        <w:rPr>
          <w:rFonts w:ascii="Trebuchet MS" w:hAnsi="Trebuchet MS"/>
          <w:b/>
          <w:sz w:val="16"/>
          <w:szCs w:val="16"/>
        </w:rPr>
        <w:t>8.</w:t>
      </w:r>
      <w:r w:rsidR="00C34E50" w:rsidRPr="00D323EA">
        <w:rPr>
          <w:rFonts w:ascii="Trebuchet MS" w:hAnsi="Trebuchet MS"/>
          <w:b/>
          <w:sz w:val="16"/>
          <w:szCs w:val="16"/>
        </w:rPr>
        <w:t>9%</w:t>
      </w:r>
      <w:r w:rsidR="00C67AB1"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 w:rsidR="00C67AB1">
        <w:rPr>
          <w:rFonts w:ascii="Trebuchet MS" w:hAnsi="Trebuchet MS"/>
          <w:sz w:val="16"/>
          <w:szCs w:val="16"/>
        </w:rPr>
        <w:t>Seccional.</w:t>
      </w:r>
      <w:r w:rsidRPr="00210F07">
        <w:rPr>
          <w:rFonts w:ascii="Trebuchet MS" w:hAnsi="Trebuchet MS"/>
          <w:sz w:val="16"/>
          <w:szCs w:val="16"/>
        </w:rPr>
        <w:t xml:space="preserve"> </w:t>
      </w:r>
      <w:r w:rsidR="00C67AB1">
        <w:rPr>
          <w:rFonts w:ascii="Trebuchet MS" w:hAnsi="Trebuchet MS"/>
          <w:sz w:val="16"/>
          <w:szCs w:val="16"/>
        </w:rPr>
        <w:t xml:space="preserve">En lo correspondiente al área </w:t>
      </w:r>
      <w:r w:rsidR="00C67AB1" w:rsidRPr="00C67AB1">
        <w:rPr>
          <w:rFonts w:ascii="Trebuchet MS" w:hAnsi="Trebuchet MS"/>
          <w:b/>
          <w:sz w:val="16"/>
          <w:szCs w:val="16"/>
          <w:u w:val="single"/>
        </w:rPr>
        <w:t>pecuaria</w:t>
      </w:r>
      <w:r w:rsidR="00C67AB1">
        <w:rPr>
          <w:rFonts w:ascii="Trebuchet MS" w:hAnsi="Trebuchet MS"/>
          <w:sz w:val="16"/>
          <w:szCs w:val="16"/>
        </w:rPr>
        <w:t xml:space="preserve"> se destacan</w:t>
      </w:r>
      <w:r w:rsidR="000A3376" w:rsidRPr="00210F07">
        <w:rPr>
          <w:rFonts w:ascii="Trebuchet MS" w:hAnsi="Trebuchet MS"/>
          <w:sz w:val="16"/>
          <w:szCs w:val="16"/>
        </w:rPr>
        <w:t xml:space="preserve"> las Acciones Estratégicas</w:t>
      </w:r>
      <w:r w:rsidR="00C67AB1">
        <w:rPr>
          <w:rFonts w:ascii="Trebuchet MS" w:hAnsi="Trebuchet MS"/>
          <w:sz w:val="16"/>
          <w:szCs w:val="16"/>
        </w:rPr>
        <w:t xml:space="preserve"> de</w:t>
      </w:r>
      <w:r w:rsidR="000A3376" w:rsidRPr="00210F07">
        <w:rPr>
          <w:rFonts w:ascii="Trebuchet MS" w:hAnsi="Trebuchet MS"/>
          <w:sz w:val="16"/>
          <w:szCs w:val="16"/>
        </w:rPr>
        <w:t xml:space="preserve"> Zonas Libres y de Baja prevalencia </w:t>
      </w:r>
      <w:r w:rsidR="00C67AB1">
        <w:rPr>
          <w:rFonts w:ascii="Trebuchet MS" w:hAnsi="Trebuchet MS"/>
          <w:sz w:val="16"/>
          <w:szCs w:val="16"/>
        </w:rPr>
        <w:t xml:space="preserve">de </w:t>
      </w:r>
      <w:r w:rsidR="000A3376" w:rsidRPr="00210F07">
        <w:rPr>
          <w:rFonts w:ascii="Trebuchet MS" w:hAnsi="Trebuchet MS"/>
          <w:sz w:val="16"/>
          <w:szCs w:val="16"/>
        </w:rPr>
        <w:t xml:space="preserve">Brucelosis, Tuberculosis, Peste Porcina Clásica, Aviares y Sistema de Información y Vigilancia Epidemiológica; con un porcentaje de cumplimiento del 95, 86, </w:t>
      </w:r>
      <w:r w:rsidR="00FE0603" w:rsidRPr="00210F07">
        <w:rPr>
          <w:rFonts w:ascii="Trebuchet MS" w:hAnsi="Trebuchet MS"/>
          <w:sz w:val="16"/>
          <w:szCs w:val="16"/>
        </w:rPr>
        <w:t>65, 56 y 64% respectivamente, a</w:t>
      </w:r>
      <w:r w:rsidR="000A3376" w:rsidRPr="00210F07">
        <w:rPr>
          <w:rFonts w:ascii="Trebuchet MS" w:hAnsi="Trebuchet MS"/>
          <w:sz w:val="16"/>
          <w:szCs w:val="16"/>
        </w:rPr>
        <w:t xml:space="preserve">lcanzando así </w:t>
      </w:r>
      <w:r w:rsidR="00FC5089" w:rsidRPr="00210F07">
        <w:rPr>
          <w:rFonts w:ascii="Trebuchet MS" w:hAnsi="Trebuchet MS"/>
          <w:sz w:val="16"/>
          <w:szCs w:val="16"/>
        </w:rPr>
        <w:t xml:space="preserve"> un </w:t>
      </w:r>
      <w:r w:rsidR="000A3376" w:rsidRPr="00210F07">
        <w:rPr>
          <w:rFonts w:ascii="Trebuchet MS" w:hAnsi="Trebuchet MS"/>
          <w:sz w:val="16"/>
          <w:szCs w:val="16"/>
        </w:rPr>
        <w:t>54</w:t>
      </w:r>
      <w:r w:rsidR="00FC5089" w:rsidRPr="00210F07">
        <w:rPr>
          <w:rFonts w:ascii="Trebuchet MS" w:hAnsi="Trebuchet MS"/>
          <w:sz w:val="16"/>
          <w:szCs w:val="16"/>
        </w:rPr>
        <w:t>%</w:t>
      </w:r>
      <w:r w:rsidR="000A3376" w:rsidRPr="00210F07">
        <w:rPr>
          <w:rFonts w:ascii="Trebuchet MS" w:hAnsi="Trebuchet MS"/>
          <w:sz w:val="16"/>
          <w:szCs w:val="16"/>
        </w:rPr>
        <w:t xml:space="preserve"> en su Plan de Acción</w:t>
      </w:r>
      <w:r w:rsidR="00FC5089" w:rsidRPr="00210F07">
        <w:rPr>
          <w:rFonts w:ascii="Trebuchet MS" w:hAnsi="Trebuchet MS"/>
          <w:sz w:val="16"/>
          <w:szCs w:val="16"/>
        </w:rPr>
        <w:t>.</w:t>
      </w:r>
      <w:r w:rsidRPr="00210F07">
        <w:rPr>
          <w:rFonts w:ascii="Trebuchet MS" w:hAnsi="Trebuchet MS"/>
          <w:sz w:val="16"/>
          <w:szCs w:val="16"/>
        </w:rPr>
        <w:t xml:space="preserve"> </w:t>
      </w:r>
    </w:p>
    <w:p w:rsidR="00C67AB1" w:rsidRDefault="00FC5089" w:rsidP="004638B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E</w:t>
      </w:r>
      <w:r w:rsidR="000836BA" w:rsidRPr="00210F07">
        <w:rPr>
          <w:rFonts w:ascii="Trebuchet MS" w:hAnsi="Trebuchet MS"/>
          <w:sz w:val="16"/>
          <w:szCs w:val="16"/>
        </w:rPr>
        <w:t xml:space="preserve">n </w:t>
      </w:r>
      <w:r w:rsidR="00C67AB1"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="00C67AB1"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 w:rsidR="00C67AB1"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 w:rsidR="00C67AB1">
        <w:rPr>
          <w:rFonts w:ascii="Trebuchet MS" w:hAnsi="Trebuchet MS"/>
          <w:sz w:val="16"/>
          <w:szCs w:val="16"/>
        </w:rPr>
        <w:t xml:space="preserve"> de </w:t>
      </w:r>
      <w:r w:rsidRPr="00210F07">
        <w:rPr>
          <w:rFonts w:ascii="Trebuchet MS" w:hAnsi="Trebuchet MS"/>
          <w:sz w:val="16"/>
          <w:szCs w:val="16"/>
        </w:rPr>
        <w:t>Control</w:t>
      </w:r>
      <w:r w:rsidRPr="00210F07">
        <w:rPr>
          <w:rFonts w:ascii="Trebuchet MS" w:hAnsi="Trebuchet MS"/>
          <w:b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Técnico a las Semillas, Detección Control y erradicación de la Mosca de la Fruta, Vigilancia y Manejo en cultivos de Palma de Aceite, Control y Mantenimiento de Áreas libres de Algodón y Programa de vigilancia Fitosanitaria Forestal con un Porcentaje de cumplimiento del 62, 53, 99, 94 y 65% respectivamente; alcanzando así un 5</w:t>
      </w:r>
      <w:r w:rsidR="00247812">
        <w:rPr>
          <w:rFonts w:ascii="Trebuchet MS" w:hAnsi="Trebuchet MS"/>
          <w:sz w:val="16"/>
          <w:szCs w:val="16"/>
        </w:rPr>
        <w:t>5</w:t>
      </w:r>
      <w:r w:rsidRPr="00210F07">
        <w:rPr>
          <w:rFonts w:ascii="Trebuchet MS" w:hAnsi="Trebuchet MS"/>
          <w:sz w:val="16"/>
          <w:szCs w:val="16"/>
        </w:rPr>
        <w:t xml:space="preserve">% en su Plan de Acción. </w:t>
      </w:r>
    </w:p>
    <w:p w:rsidR="00C67AB1" w:rsidRDefault="00C67AB1" w:rsidP="004638B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="00FC5089"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="00FC5089"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sz w:val="16"/>
          <w:szCs w:val="16"/>
        </w:rPr>
        <w:t xml:space="preserve"> se destaca la A</w:t>
      </w:r>
      <w:r w:rsidR="00FC5089" w:rsidRPr="00210F07">
        <w:rPr>
          <w:rFonts w:ascii="Trebuchet MS" w:hAnsi="Trebuchet MS"/>
          <w:sz w:val="16"/>
          <w:szCs w:val="16"/>
        </w:rPr>
        <w:t xml:space="preserve">cción </w:t>
      </w:r>
      <w:r>
        <w:rPr>
          <w:rFonts w:ascii="Trebuchet MS" w:hAnsi="Trebuchet MS"/>
          <w:sz w:val="16"/>
          <w:szCs w:val="16"/>
        </w:rPr>
        <w:t>E</w:t>
      </w:r>
      <w:r w:rsidR="00FC5089"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Certificación</w:t>
      </w:r>
      <w:r w:rsidR="00FC5089"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d</w:t>
      </w:r>
      <w:r w:rsidR="00FC5089" w:rsidRPr="00210F07">
        <w:rPr>
          <w:rFonts w:ascii="Trebuchet MS" w:hAnsi="Trebuchet MS"/>
          <w:sz w:val="16"/>
          <w:szCs w:val="16"/>
        </w:rPr>
        <w:t xml:space="preserve">el Estado Sanitario y Fitosanitario de las exportaciones </w:t>
      </w:r>
      <w:r>
        <w:rPr>
          <w:rFonts w:ascii="Trebuchet MS" w:hAnsi="Trebuchet MS"/>
          <w:sz w:val="16"/>
          <w:szCs w:val="16"/>
        </w:rPr>
        <w:t>a</w:t>
      </w:r>
      <w:r w:rsidR="00FC5089" w:rsidRPr="00210F07">
        <w:rPr>
          <w:rFonts w:ascii="Trebuchet MS" w:hAnsi="Trebuchet MS"/>
          <w:sz w:val="16"/>
          <w:szCs w:val="16"/>
        </w:rPr>
        <w:t xml:space="preserve">gropecuarias </w:t>
      </w:r>
      <w:r w:rsidR="000A3376" w:rsidRPr="00210F07">
        <w:rPr>
          <w:rFonts w:ascii="Trebuchet MS" w:hAnsi="Trebuchet MS"/>
          <w:sz w:val="16"/>
          <w:szCs w:val="16"/>
        </w:rPr>
        <w:t>con un porcentaje de cumplimiento del 49.5%; alcanzando así un 42</w:t>
      </w:r>
      <w:r w:rsidR="00247812">
        <w:rPr>
          <w:rFonts w:ascii="Trebuchet MS" w:hAnsi="Trebuchet MS"/>
          <w:sz w:val="16"/>
          <w:szCs w:val="16"/>
        </w:rPr>
        <w:t>.3</w:t>
      </w:r>
      <w:r w:rsidR="000A3376" w:rsidRPr="00210F07">
        <w:rPr>
          <w:rFonts w:ascii="Trebuchet MS" w:hAnsi="Trebuchet MS"/>
          <w:sz w:val="16"/>
          <w:szCs w:val="16"/>
        </w:rPr>
        <w:t>% en su Plan de Acción.</w:t>
      </w:r>
      <w:r w:rsidR="00FE0603" w:rsidRPr="00210F07">
        <w:rPr>
          <w:rFonts w:ascii="Trebuchet MS" w:hAnsi="Trebuchet MS"/>
          <w:sz w:val="16"/>
          <w:szCs w:val="16"/>
        </w:rPr>
        <w:t xml:space="preserve"> </w:t>
      </w:r>
    </w:p>
    <w:p w:rsidR="00C67AB1" w:rsidRDefault="00C67AB1" w:rsidP="004638B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="00FE0603"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="00FE0603"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</w:t>
      </w:r>
      <w:r w:rsidR="00FE0603"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c</w:t>
      </w:r>
      <w:r w:rsidR="00FE0603" w:rsidRPr="00210F07">
        <w:rPr>
          <w:rFonts w:ascii="Trebuchet MS" w:hAnsi="Trebuchet MS"/>
          <w:sz w:val="16"/>
          <w:szCs w:val="16"/>
        </w:rPr>
        <w:t>onsolidación del servicio en la red Oficial de Laboratorios de diagnóstico veterinario y Fortalec</w:t>
      </w:r>
      <w:r>
        <w:rPr>
          <w:rFonts w:ascii="Trebuchet MS" w:hAnsi="Trebuchet MS"/>
          <w:sz w:val="16"/>
          <w:szCs w:val="16"/>
        </w:rPr>
        <w:t xml:space="preserve">imiento en la red de brucelosis, </w:t>
      </w:r>
      <w:r w:rsidR="00FE0603" w:rsidRPr="00210F07">
        <w:rPr>
          <w:rFonts w:ascii="Trebuchet MS" w:hAnsi="Trebuchet MS"/>
          <w:sz w:val="16"/>
          <w:szCs w:val="16"/>
        </w:rPr>
        <w:t>con un porcentaje de cumplimiento del 56%</w:t>
      </w:r>
      <w:r>
        <w:rPr>
          <w:rFonts w:ascii="Trebuchet MS" w:hAnsi="Trebuchet MS"/>
          <w:sz w:val="16"/>
          <w:szCs w:val="16"/>
        </w:rPr>
        <w:t>,</w:t>
      </w:r>
      <w:r w:rsidR="00FE0603" w:rsidRPr="00210F07">
        <w:rPr>
          <w:rFonts w:ascii="Trebuchet MS" w:hAnsi="Trebuchet MS"/>
          <w:sz w:val="16"/>
          <w:szCs w:val="16"/>
        </w:rPr>
        <w:t xml:space="preserve"> Alcanzando así un 44% en su Plan de Acción. </w:t>
      </w:r>
    </w:p>
    <w:p w:rsidR="00FC5089" w:rsidRPr="00210F07" w:rsidRDefault="00C67AB1" w:rsidP="004638B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E</w:t>
      </w:r>
      <w:r w:rsidR="006979A0" w:rsidRPr="00210F07">
        <w:rPr>
          <w:rFonts w:ascii="Trebuchet MS" w:hAnsi="Trebuchet MS"/>
          <w:sz w:val="16"/>
          <w:szCs w:val="16"/>
        </w:rPr>
        <w:t xml:space="preserve">l resultado </w:t>
      </w:r>
      <w:r>
        <w:rPr>
          <w:rFonts w:ascii="Trebuchet MS" w:hAnsi="Trebuchet MS"/>
          <w:sz w:val="16"/>
          <w:szCs w:val="16"/>
        </w:rPr>
        <w:t>consolidado de</w:t>
      </w:r>
      <w:r w:rsidR="006979A0" w:rsidRPr="00210F07">
        <w:rPr>
          <w:rFonts w:ascii="Trebuchet MS" w:hAnsi="Trebuchet MS"/>
          <w:sz w:val="16"/>
          <w:szCs w:val="16"/>
        </w:rPr>
        <w:t xml:space="preserve"> las 4 Subgerencia </w:t>
      </w:r>
      <w:r>
        <w:rPr>
          <w:rFonts w:ascii="Trebuchet MS" w:hAnsi="Trebuchet MS"/>
          <w:sz w:val="16"/>
          <w:szCs w:val="16"/>
        </w:rPr>
        <w:t>tiene un cumplimiento del</w:t>
      </w:r>
      <w:r w:rsidR="006979A0" w:rsidRPr="00210F07">
        <w:rPr>
          <w:rFonts w:ascii="Trebuchet MS" w:hAnsi="Trebuchet MS"/>
          <w:sz w:val="16"/>
          <w:szCs w:val="16"/>
        </w:rPr>
        <w:t xml:space="preserve"> 48.9% Ejecutado durante el I Semestre del año. </w:t>
      </w:r>
    </w:p>
    <w:p w:rsidR="00FE0603" w:rsidRPr="00210F07" w:rsidRDefault="006979A0" w:rsidP="004638B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A continuación se muestra una gráfica que representa el cumplimiento de cada una de las subgerencias que pertenecen al plan de acción de esta Gerencia Seccional</w:t>
      </w:r>
      <w:r w:rsidR="00F91B96" w:rsidRPr="00210F07">
        <w:rPr>
          <w:rFonts w:ascii="Trebuchet MS" w:hAnsi="Trebuchet MS"/>
          <w:sz w:val="16"/>
          <w:szCs w:val="16"/>
        </w:rPr>
        <w:t xml:space="preserve"> durante el I Semestre</w:t>
      </w:r>
      <w:r w:rsidRPr="00210F07">
        <w:rPr>
          <w:rFonts w:ascii="Trebuchet MS" w:hAnsi="Trebuchet MS"/>
          <w:sz w:val="16"/>
          <w:szCs w:val="16"/>
        </w:rPr>
        <w:t xml:space="preserve">: </w:t>
      </w:r>
    </w:p>
    <w:p w:rsidR="00FE0603" w:rsidRDefault="006979A0" w:rsidP="006979A0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6D4302FF" wp14:editId="3ED6D497">
            <wp:extent cx="5162550" cy="18669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36BA" w:rsidRPr="00210F07" w:rsidRDefault="004638B1" w:rsidP="004638B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 w:rsidR="00622A59"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 w:rsidR="002B3F9A">
        <w:rPr>
          <w:rFonts w:ascii="Trebuchet MS" w:hAnsi="Trebuchet MS"/>
          <w:sz w:val="16"/>
          <w:szCs w:val="16"/>
        </w:rPr>
        <w:t>el Plan de acción y el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4638B1" w:rsidRDefault="00C53366" w:rsidP="004638B1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2381AB4A" wp14:editId="2D3C0F6A">
            <wp:extent cx="5324475" cy="2190750"/>
            <wp:effectExtent l="0" t="0" r="952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26B3" w:rsidRDefault="002326B3" w:rsidP="002326B3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BOYACA</w:t>
      </w:r>
    </w:p>
    <w:p w:rsidR="00C53366" w:rsidRDefault="00C53366" w:rsidP="00C5336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Boyacá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C34E50">
        <w:rPr>
          <w:rFonts w:ascii="Trebuchet MS" w:hAnsi="Trebuchet MS"/>
          <w:sz w:val="16"/>
          <w:szCs w:val="16"/>
        </w:rPr>
        <w:t xml:space="preserve"> </w:t>
      </w:r>
      <w:r w:rsidR="00942FD1">
        <w:rPr>
          <w:rFonts w:ascii="Trebuchet MS" w:hAnsi="Trebuchet MS"/>
          <w:sz w:val="16"/>
          <w:szCs w:val="16"/>
        </w:rPr>
        <w:t>52.4</w:t>
      </w:r>
      <w:r w:rsidRPr="00D323EA">
        <w:rPr>
          <w:rFonts w:ascii="Trebuchet MS" w:hAnsi="Trebuchet MS"/>
          <w:b/>
          <w:sz w:val="16"/>
          <w:szCs w:val="16"/>
        </w:rPr>
        <w:t>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>Seccional.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En lo correspondiente al área </w:t>
      </w:r>
      <w:r w:rsidRPr="00C67AB1">
        <w:rPr>
          <w:rFonts w:ascii="Trebuchet MS" w:hAnsi="Trebuchet MS"/>
          <w:b/>
          <w:sz w:val="16"/>
          <w:szCs w:val="16"/>
          <w:u w:val="single"/>
        </w:rPr>
        <w:t>pecuaria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C34E50">
        <w:rPr>
          <w:rFonts w:ascii="Trebuchet MS" w:hAnsi="Trebuchet MS"/>
          <w:color w:val="000000"/>
          <w:sz w:val="16"/>
          <w:szCs w:val="16"/>
        </w:rPr>
        <w:t>zonas libres y de baja prevalencia enfermedades animal</w:t>
      </w:r>
      <w:r>
        <w:rPr>
          <w:rFonts w:ascii="Trebuchet MS" w:hAnsi="Trebuchet MS"/>
          <w:color w:val="000000"/>
          <w:sz w:val="16"/>
          <w:szCs w:val="16"/>
        </w:rPr>
        <w:t xml:space="preserve">es - erradicación de brucelosis, </w:t>
      </w:r>
      <w:r w:rsidRPr="00C34E50">
        <w:rPr>
          <w:rFonts w:ascii="Trebuchet MS" w:hAnsi="Trebuchet MS"/>
          <w:color w:val="000000"/>
          <w:sz w:val="16"/>
          <w:szCs w:val="16"/>
        </w:rPr>
        <w:t xml:space="preserve">zonas libres y de baja prevalencia enfermedades animales - erradicación de tuberculosis </w:t>
      </w:r>
      <w:r>
        <w:rPr>
          <w:rFonts w:ascii="Trebuchet MS" w:hAnsi="Trebuchet MS"/>
          <w:color w:val="000000"/>
          <w:sz w:val="16"/>
          <w:szCs w:val="16"/>
        </w:rPr>
        <w:t xml:space="preserve"> y </w:t>
      </w:r>
      <w:r w:rsidRPr="00C34E50">
        <w:rPr>
          <w:rFonts w:ascii="Trebuchet MS" w:hAnsi="Trebuchet MS"/>
          <w:color w:val="000000"/>
          <w:sz w:val="16"/>
          <w:szCs w:val="16"/>
        </w:rPr>
        <w:t>sistema de información y vigilancia epidemiológica animal</w:t>
      </w:r>
      <w:r w:rsidRPr="00210F07">
        <w:rPr>
          <w:rFonts w:ascii="Trebuchet MS" w:hAnsi="Trebuchet MS"/>
          <w:sz w:val="16"/>
          <w:szCs w:val="16"/>
        </w:rPr>
        <w:t>;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54, 60 y 81%</w:t>
      </w:r>
      <w:r w:rsidRPr="00210F07">
        <w:rPr>
          <w:rFonts w:ascii="Trebuchet MS" w:hAnsi="Trebuchet MS"/>
          <w:sz w:val="16"/>
          <w:szCs w:val="16"/>
        </w:rPr>
        <w:t xml:space="preserve"> </w:t>
      </w:r>
      <w:r w:rsidR="007B55E1"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 w:rsidR="007B55E1">
        <w:rPr>
          <w:rFonts w:ascii="Trebuchet MS" w:hAnsi="Trebuchet MS"/>
          <w:sz w:val="16"/>
          <w:szCs w:val="16"/>
        </w:rPr>
        <w:t>35</w:t>
      </w:r>
      <w:r w:rsidR="007B55E1" w:rsidRPr="00210F07">
        <w:rPr>
          <w:rFonts w:ascii="Trebuchet MS" w:hAnsi="Trebuchet MS"/>
          <w:sz w:val="16"/>
          <w:szCs w:val="16"/>
        </w:rPr>
        <w:t>% en su Plan de Acción.</w:t>
      </w:r>
    </w:p>
    <w:p w:rsidR="00C53366" w:rsidRDefault="007B55E1" w:rsidP="00C34E50">
      <w:pPr>
        <w:pStyle w:val="NormalWeb"/>
        <w:shd w:val="clear" w:color="auto" w:fill="FFFFFF"/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D8661A">
        <w:rPr>
          <w:rFonts w:ascii="Trebuchet MS" w:hAnsi="Trebuchet MS"/>
          <w:sz w:val="16"/>
          <w:szCs w:val="16"/>
        </w:rPr>
        <w:t>D</w:t>
      </w:r>
      <w:r>
        <w:rPr>
          <w:rFonts w:ascii="Trebuchet MS" w:hAnsi="Trebuchet MS"/>
          <w:sz w:val="16"/>
          <w:szCs w:val="16"/>
        </w:rPr>
        <w:t>etección, C</w:t>
      </w:r>
      <w:r w:rsidRPr="00D8661A">
        <w:rPr>
          <w:rFonts w:ascii="Trebuchet MS" w:hAnsi="Trebuchet MS"/>
          <w:sz w:val="16"/>
          <w:szCs w:val="16"/>
        </w:rPr>
        <w:t xml:space="preserve">ontrol y </w:t>
      </w:r>
      <w:r>
        <w:rPr>
          <w:rFonts w:ascii="Trebuchet MS" w:hAnsi="Trebuchet MS"/>
          <w:sz w:val="16"/>
          <w:szCs w:val="16"/>
        </w:rPr>
        <w:t>E</w:t>
      </w:r>
      <w:r w:rsidRPr="00D8661A">
        <w:rPr>
          <w:rFonts w:ascii="Trebuchet MS" w:hAnsi="Trebuchet MS"/>
          <w:sz w:val="16"/>
          <w:szCs w:val="16"/>
        </w:rPr>
        <w:t xml:space="preserve">rradicación - plan </w:t>
      </w:r>
      <w:r>
        <w:rPr>
          <w:rFonts w:ascii="Trebuchet MS" w:hAnsi="Trebuchet MS"/>
          <w:sz w:val="16"/>
          <w:szCs w:val="16"/>
        </w:rPr>
        <w:t>N</w:t>
      </w:r>
      <w:r w:rsidRPr="00D8661A">
        <w:rPr>
          <w:rFonts w:ascii="Trebuchet MS" w:hAnsi="Trebuchet MS"/>
          <w:sz w:val="16"/>
          <w:szCs w:val="16"/>
        </w:rPr>
        <w:t xml:space="preserve">acional de </w:t>
      </w:r>
      <w:r>
        <w:rPr>
          <w:rFonts w:ascii="Trebuchet MS" w:hAnsi="Trebuchet MS"/>
          <w:sz w:val="16"/>
          <w:szCs w:val="16"/>
        </w:rPr>
        <w:t>M</w:t>
      </w:r>
      <w:r w:rsidRPr="00D8661A">
        <w:rPr>
          <w:rFonts w:ascii="Trebuchet MS" w:hAnsi="Trebuchet MS"/>
          <w:sz w:val="16"/>
          <w:szCs w:val="16"/>
        </w:rPr>
        <w:t xml:space="preserve">osca de la fruta –pnmf, </w:t>
      </w:r>
      <w:r>
        <w:rPr>
          <w:rFonts w:ascii="Trebuchet MS" w:hAnsi="Trebuchet MS"/>
          <w:sz w:val="16"/>
          <w:szCs w:val="16"/>
        </w:rPr>
        <w:t>V</w:t>
      </w:r>
      <w:r w:rsidRPr="00D8661A">
        <w:rPr>
          <w:rFonts w:ascii="Trebuchet MS" w:hAnsi="Trebuchet MS"/>
          <w:sz w:val="16"/>
          <w:szCs w:val="16"/>
        </w:rPr>
        <w:t xml:space="preserve">igilancia de </w:t>
      </w:r>
      <w:r>
        <w:rPr>
          <w:rFonts w:ascii="Trebuchet MS" w:hAnsi="Trebuchet MS"/>
          <w:sz w:val="16"/>
          <w:szCs w:val="16"/>
        </w:rPr>
        <w:t>P</w:t>
      </w:r>
      <w:r w:rsidRPr="00D8661A">
        <w:rPr>
          <w:rFonts w:ascii="Trebuchet MS" w:hAnsi="Trebuchet MS"/>
          <w:sz w:val="16"/>
          <w:szCs w:val="16"/>
        </w:rPr>
        <w:t xml:space="preserve">lagas de control oficial, </w:t>
      </w:r>
      <w:r>
        <w:rPr>
          <w:rFonts w:ascii="Trebuchet MS" w:hAnsi="Trebuchet MS"/>
          <w:sz w:val="16"/>
          <w:szCs w:val="16"/>
        </w:rPr>
        <w:t>E</w:t>
      </w:r>
      <w:r w:rsidRPr="00D8661A">
        <w:rPr>
          <w:rFonts w:ascii="Trebuchet MS" w:hAnsi="Trebuchet MS"/>
          <w:sz w:val="16"/>
          <w:szCs w:val="16"/>
        </w:rPr>
        <w:t xml:space="preserve">status </w:t>
      </w:r>
      <w:r>
        <w:rPr>
          <w:rFonts w:ascii="Trebuchet MS" w:hAnsi="Trebuchet MS"/>
          <w:sz w:val="16"/>
          <w:szCs w:val="16"/>
        </w:rPr>
        <w:t>F</w:t>
      </w:r>
      <w:r w:rsidRPr="00D8661A">
        <w:rPr>
          <w:rFonts w:ascii="Trebuchet MS" w:hAnsi="Trebuchet MS"/>
          <w:sz w:val="16"/>
          <w:szCs w:val="16"/>
        </w:rPr>
        <w:t xml:space="preserve">itosanitario y </w:t>
      </w:r>
      <w:r>
        <w:rPr>
          <w:rFonts w:ascii="Trebuchet MS" w:hAnsi="Trebuchet MS"/>
          <w:sz w:val="16"/>
          <w:szCs w:val="16"/>
        </w:rPr>
        <w:t>R</w:t>
      </w:r>
      <w:r w:rsidRPr="00D8661A">
        <w:rPr>
          <w:rFonts w:ascii="Trebuchet MS" w:hAnsi="Trebuchet MS"/>
          <w:sz w:val="16"/>
          <w:szCs w:val="16"/>
        </w:rPr>
        <w:t xml:space="preserve">egistros, </w:t>
      </w:r>
      <w:r>
        <w:rPr>
          <w:rFonts w:ascii="Trebuchet MS" w:hAnsi="Trebuchet MS"/>
          <w:sz w:val="16"/>
          <w:szCs w:val="16"/>
        </w:rPr>
        <w:t>P</w:t>
      </w:r>
      <w:r w:rsidRPr="00D8661A">
        <w:rPr>
          <w:rFonts w:ascii="Trebuchet MS" w:hAnsi="Trebuchet MS"/>
          <w:sz w:val="16"/>
          <w:szCs w:val="16"/>
        </w:rPr>
        <w:t xml:space="preserve">rotección </w:t>
      </w:r>
      <w:r>
        <w:rPr>
          <w:rFonts w:ascii="Trebuchet MS" w:hAnsi="Trebuchet MS"/>
          <w:sz w:val="16"/>
          <w:szCs w:val="16"/>
        </w:rPr>
        <w:t>F</w:t>
      </w:r>
      <w:r w:rsidRPr="00D8661A">
        <w:rPr>
          <w:rFonts w:ascii="Trebuchet MS" w:hAnsi="Trebuchet MS"/>
          <w:sz w:val="16"/>
          <w:szCs w:val="16"/>
        </w:rPr>
        <w:t xml:space="preserve">itosanitaria sobre las principales especies agrícolas del país, </w:t>
      </w:r>
      <w:r>
        <w:rPr>
          <w:rFonts w:ascii="Trebuchet MS" w:hAnsi="Trebuchet MS"/>
          <w:sz w:val="16"/>
          <w:szCs w:val="16"/>
        </w:rPr>
        <w:t>C</w:t>
      </w:r>
      <w:r w:rsidRPr="00D8661A">
        <w:rPr>
          <w:rFonts w:ascii="Trebuchet MS" w:hAnsi="Trebuchet MS"/>
          <w:sz w:val="16"/>
          <w:szCs w:val="16"/>
        </w:rPr>
        <w:t xml:space="preserve">ontrol y mantenimiento de áreas libres y de baja prevalencia en los cultivos ornamentales y de algodón, </w:t>
      </w:r>
      <w:r>
        <w:rPr>
          <w:rFonts w:ascii="Trebuchet MS" w:hAnsi="Trebuchet MS"/>
          <w:sz w:val="16"/>
          <w:szCs w:val="16"/>
        </w:rPr>
        <w:t>C</w:t>
      </w:r>
      <w:r w:rsidRPr="00D8661A">
        <w:rPr>
          <w:rFonts w:ascii="Trebuchet MS" w:hAnsi="Trebuchet MS"/>
          <w:sz w:val="16"/>
          <w:szCs w:val="16"/>
        </w:rPr>
        <w:t>ontrol técnico en la producción</w:t>
      </w:r>
      <w:r>
        <w:rPr>
          <w:rFonts w:ascii="Trebuchet MS" w:hAnsi="Trebuchet MS"/>
          <w:sz w:val="16"/>
          <w:szCs w:val="16"/>
        </w:rPr>
        <w:t xml:space="preserve"> y comercialización de insumos A</w:t>
      </w:r>
      <w:r w:rsidRPr="00D8661A">
        <w:rPr>
          <w:rFonts w:ascii="Trebuchet MS" w:hAnsi="Trebuchet MS"/>
          <w:sz w:val="16"/>
          <w:szCs w:val="16"/>
        </w:rPr>
        <w:t>grícolas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50, 52, 52, 75 y 64% </w:t>
      </w:r>
      <w:r w:rsidRPr="00210F07">
        <w:rPr>
          <w:rFonts w:ascii="Trebuchet MS" w:hAnsi="Trebuchet MS"/>
          <w:sz w:val="16"/>
          <w:szCs w:val="16"/>
        </w:rPr>
        <w:t xml:space="preserve">respectivamente; alcanzando así un </w:t>
      </w:r>
      <w:r>
        <w:rPr>
          <w:rFonts w:ascii="Trebuchet MS" w:hAnsi="Trebuchet MS"/>
          <w:sz w:val="16"/>
          <w:szCs w:val="16"/>
        </w:rPr>
        <w:t>42.6</w:t>
      </w:r>
      <w:r w:rsidRPr="00210F07">
        <w:rPr>
          <w:rFonts w:ascii="Trebuchet MS" w:hAnsi="Trebuchet MS"/>
          <w:sz w:val="16"/>
          <w:szCs w:val="16"/>
        </w:rPr>
        <w:t>% en su Plan de Acción.</w:t>
      </w:r>
    </w:p>
    <w:p w:rsidR="008C7223" w:rsidRDefault="008C7223" w:rsidP="00C34E50">
      <w:pPr>
        <w:pStyle w:val="NormalWeb"/>
        <w:shd w:val="clear" w:color="auto" w:fill="FFFFFF"/>
        <w:jc w:val="both"/>
        <w:rPr>
          <w:rFonts w:ascii="Trebuchet MS" w:hAnsi="Trebuchet MS"/>
          <w:sz w:val="16"/>
          <w:szCs w:val="16"/>
        </w:rPr>
      </w:pPr>
    </w:p>
    <w:p w:rsidR="008C7223" w:rsidRDefault="008C7223" w:rsidP="00C34E50">
      <w:pPr>
        <w:pStyle w:val="NormalWeb"/>
        <w:shd w:val="clear" w:color="auto" w:fill="FFFFFF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8C7223">
        <w:rPr>
          <w:rFonts w:ascii="Trebuchet MS" w:hAnsi="Trebuchet MS"/>
          <w:sz w:val="16"/>
          <w:szCs w:val="16"/>
        </w:rPr>
        <w:t xml:space="preserve">consolidación del servicio en la red oficial de laboratorios de </w:t>
      </w:r>
      <w:r w:rsidR="000E5D8B" w:rsidRPr="008C7223">
        <w:rPr>
          <w:rFonts w:ascii="Trebuchet MS" w:hAnsi="Trebuchet MS"/>
          <w:sz w:val="16"/>
          <w:szCs w:val="16"/>
        </w:rPr>
        <w:t>diagnóstico</w:t>
      </w:r>
      <w:r w:rsidRPr="008C7223">
        <w:rPr>
          <w:rFonts w:ascii="Trebuchet MS" w:hAnsi="Trebuchet MS"/>
          <w:sz w:val="16"/>
          <w:szCs w:val="16"/>
        </w:rPr>
        <w:t xml:space="preserve">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</w:t>
      </w:r>
      <w:r w:rsidR="00942FD1">
        <w:rPr>
          <w:rFonts w:ascii="Trebuchet MS" w:hAnsi="Trebuchet MS"/>
          <w:sz w:val="16"/>
          <w:szCs w:val="16"/>
        </w:rPr>
        <w:t>72</w:t>
      </w:r>
      <w:r>
        <w:rPr>
          <w:rFonts w:ascii="Trebuchet MS" w:hAnsi="Trebuchet MS"/>
          <w:sz w:val="16"/>
          <w:szCs w:val="16"/>
        </w:rPr>
        <w:t>% respectivamente; alcanzando así un 60% en su Plan de acción.</w:t>
      </w:r>
    </w:p>
    <w:p w:rsidR="007B55E1" w:rsidRDefault="007B55E1" w:rsidP="00C34E50">
      <w:pPr>
        <w:pStyle w:val="NormalWeb"/>
        <w:shd w:val="clear" w:color="auto" w:fill="FFFFFF"/>
        <w:jc w:val="both"/>
        <w:rPr>
          <w:rFonts w:ascii="Trebuchet MS" w:hAnsi="Trebuchet MS"/>
          <w:sz w:val="16"/>
          <w:szCs w:val="16"/>
        </w:rPr>
      </w:pPr>
    </w:p>
    <w:p w:rsidR="00D8661A" w:rsidRDefault="00D8661A" w:rsidP="00D8661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544CBC" w:rsidRPr="00210F07" w:rsidRDefault="00942FD1" w:rsidP="00544CBC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7B898252" wp14:editId="71FB793C">
            <wp:extent cx="5613621" cy="1908314"/>
            <wp:effectExtent l="0" t="0" r="25400" b="15875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661A" w:rsidRPr="00D8661A" w:rsidRDefault="00D8661A" w:rsidP="00622A59">
      <w:pPr>
        <w:pStyle w:val="NormalWeb"/>
        <w:shd w:val="clear" w:color="auto" w:fill="FFFFFF"/>
        <w:jc w:val="center"/>
        <w:rPr>
          <w:rFonts w:ascii="Trebuchet MS" w:hAnsi="Trebuchet MS"/>
          <w:color w:val="000000"/>
          <w:sz w:val="16"/>
          <w:szCs w:val="16"/>
        </w:rPr>
      </w:pPr>
    </w:p>
    <w:p w:rsidR="00C34E50" w:rsidRPr="00D8661A" w:rsidRDefault="00C34E50" w:rsidP="00C34E50">
      <w:pPr>
        <w:pStyle w:val="NormalWeb"/>
        <w:shd w:val="clear" w:color="auto" w:fill="FFFFFF"/>
        <w:rPr>
          <w:rFonts w:ascii="Trebuchet MS" w:hAnsi="Trebuchet MS"/>
          <w:color w:val="000000"/>
          <w:sz w:val="16"/>
          <w:szCs w:val="16"/>
        </w:rPr>
      </w:pPr>
    </w:p>
    <w:p w:rsidR="00622A59" w:rsidRPr="00210F07" w:rsidRDefault="00622A59" w:rsidP="00622A5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 w:rsidR="002B3F9A"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2326B3" w:rsidRDefault="00942FD1" w:rsidP="00622A59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4B3185F3" wp14:editId="2346645D">
            <wp:extent cx="5478449" cy="2226366"/>
            <wp:effectExtent l="0" t="0" r="27305" b="2159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3B95" w:rsidRDefault="00533B95" w:rsidP="00533B95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PUTUMAYO</w:t>
      </w:r>
    </w:p>
    <w:p w:rsidR="007B55E1" w:rsidRDefault="007B55E1" w:rsidP="007B55E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Putumayo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C34E50">
        <w:rPr>
          <w:rFonts w:ascii="Trebuchet MS" w:hAnsi="Trebuchet MS"/>
          <w:sz w:val="16"/>
          <w:szCs w:val="16"/>
        </w:rPr>
        <w:t xml:space="preserve"> </w:t>
      </w:r>
      <w:r w:rsidR="002966CB" w:rsidRPr="00D323EA">
        <w:rPr>
          <w:rFonts w:ascii="Trebuchet MS" w:hAnsi="Trebuchet MS"/>
          <w:b/>
          <w:sz w:val="16"/>
          <w:szCs w:val="16"/>
        </w:rPr>
        <w:t>49.1</w:t>
      </w:r>
      <w:r w:rsidRPr="00D323EA">
        <w:rPr>
          <w:rFonts w:ascii="Trebuchet MS" w:hAnsi="Trebuchet MS"/>
          <w:b/>
          <w:sz w:val="16"/>
          <w:szCs w:val="16"/>
        </w:rPr>
        <w:t>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En lo correspondiente al área </w:t>
      </w:r>
      <w:r w:rsidRPr="00C67AB1">
        <w:rPr>
          <w:rFonts w:ascii="Trebuchet MS" w:hAnsi="Trebuchet MS"/>
          <w:b/>
          <w:sz w:val="16"/>
          <w:szCs w:val="16"/>
          <w:u w:val="single"/>
        </w:rPr>
        <w:t>pecuaria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7B55E1">
        <w:rPr>
          <w:rFonts w:ascii="Trebuchet MS" w:hAnsi="Trebuchet MS"/>
          <w:sz w:val="16"/>
          <w:szCs w:val="16"/>
        </w:rPr>
        <w:t>zonas libres y baja prevalencia enfermedades animales - fiebre aftosa</w:t>
      </w:r>
      <w:r>
        <w:rPr>
          <w:rFonts w:ascii="Trebuchet MS" w:hAnsi="Trebuchet MS"/>
          <w:sz w:val="16"/>
          <w:szCs w:val="16"/>
        </w:rPr>
        <w:t xml:space="preserve">, </w:t>
      </w:r>
      <w:r w:rsidRPr="007B55E1">
        <w:rPr>
          <w:rFonts w:ascii="Trebuchet MS" w:hAnsi="Trebuchet MS"/>
          <w:sz w:val="16"/>
          <w:szCs w:val="16"/>
        </w:rPr>
        <w:t xml:space="preserve">zonas libres y de baja prevalencia enfermedades animales - erradicación de </w:t>
      </w:r>
      <w:r>
        <w:rPr>
          <w:rFonts w:ascii="Trebuchet MS" w:hAnsi="Trebuchet MS"/>
          <w:sz w:val="16"/>
          <w:szCs w:val="16"/>
        </w:rPr>
        <w:t>B</w:t>
      </w:r>
      <w:r w:rsidRPr="007B55E1">
        <w:rPr>
          <w:rFonts w:ascii="Trebuchet MS" w:hAnsi="Trebuchet MS"/>
          <w:sz w:val="16"/>
          <w:szCs w:val="16"/>
        </w:rPr>
        <w:t>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7B55E1">
        <w:rPr>
          <w:rFonts w:ascii="Trebuchet MS" w:hAnsi="Trebuchet MS"/>
          <w:sz w:val="16"/>
          <w:szCs w:val="16"/>
        </w:rPr>
        <w:t xml:space="preserve">zonas libres y de baja prevalencia enfermedades animales - erradicación de </w:t>
      </w:r>
      <w:r>
        <w:rPr>
          <w:rFonts w:ascii="Trebuchet MS" w:hAnsi="Trebuchet MS"/>
          <w:sz w:val="16"/>
          <w:szCs w:val="16"/>
        </w:rPr>
        <w:t>T</w:t>
      </w:r>
      <w:r w:rsidRPr="007B55E1">
        <w:rPr>
          <w:rFonts w:ascii="Trebuchet MS" w:hAnsi="Trebuchet MS"/>
          <w:sz w:val="16"/>
          <w:szCs w:val="16"/>
        </w:rPr>
        <w:t>uberculosis</w:t>
      </w:r>
      <w:r>
        <w:rPr>
          <w:rFonts w:ascii="Trebuchet MS" w:hAnsi="Trebuchet MS"/>
          <w:sz w:val="16"/>
          <w:szCs w:val="16"/>
        </w:rPr>
        <w:t xml:space="preserve">, </w:t>
      </w:r>
      <w:r w:rsidRPr="007B55E1">
        <w:rPr>
          <w:rFonts w:ascii="Trebuchet MS" w:hAnsi="Trebuchet MS"/>
          <w:sz w:val="16"/>
          <w:szCs w:val="16"/>
        </w:rPr>
        <w:t>zonas libres y de baja prevalencia enfermedades animales  - enfermedades aviares</w:t>
      </w:r>
      <w:r>
        <w:rPr>
          <w:rFonts w:ascii="Trebuchet MS" w:hAnsi="Trebuchet MS"/>
          <w:sz w:val="16"/>
          <w:szCs w:val="16"/>
        </w:rPr>
        <w:t xml:space="preserve">, </w:t>
      </w:r>
      <w:r w:rsidRPr="007B55E1">
        <w:rPr>
          <w:rFonts w:ascii="Trebuchet MS" w:hAnsi="Trebuchet MS"/>
          <w:sz w:val="16"/>
          <w:szCs w:val="16"/>
        </w:rPr>
        <w:t xml:space="preserve">zonas libres y de baja prevalencia enfermedades animales - </w:t>
      </w:r>
      <w:r>
        <w:rPr>
          <w:rFonts w:ascii="Trebuchet MS" w:hAnsi="Trebuchet MS"/>
          <w:sz w:val="16"/>
          <w:szCs w:val="16"/>
        </w:rPr>
        <w:t>E</w:t>
      </w:r>
      <w:r w:rsidRPr="007B55E1">
        <w:rPr>
          <w:rFonts w:ascii="Trebuchet MS" w:hAnsi="Trebuchet MS"/>
          <w:sz w:val="16"/>
          <w:szCs w:val="16"/>
        </w:rPr>
        <w:t xml:space="preserve">ncefalopatía espongiforme bovina- </w:t>
      </w:r>
      <w:r>
        <w:rPr>
          <w:rFonts w:ascii="Trebuchet MS" w:hAnsi="Trebuchet MS"/>
          <w:sz w:val="16"/>
          <w:szCs w:val="16"/>
        </w:rPr>
        <w:t xml:space="preserve">EEB, </w:t>
      </w:r>
      <w:r w:rsidRPr="007B55E1">
        <w:rPr>
          <w:rFonts w:ascii="Trebuchet MS" w:hAnsi="Trebuchet MS"/>
          <w:sz w:val="16"/>
          <w:szCs w:val="16"/>
        </w:rPr>
        <w:t xml:space="preserve">sistema de información y vigilancia epidemiológica animal </w:t>
      </w:r>
      <w:r>
        <w:rPr>
          <w:rFonts w:ascii="Trebuchet MS" w:hAnsi="Trebuchet MS"/>
          <w:sz w:val="16"/>
          <w:szCs w:val="16"/>
        </w:rPr>
        <w:t xml:space="preserve">y </w:t>
      </w:r>
      <w:r w:rsidRPr="007B55E1">
        <w:rPr>
          <w:rFonts w:ascii="Trebuchet MS" w:hAnsi="Trebuchet MS"/>
          <w:sz w:val="16"/>
          <w:szCs w:val="16"/>
        </w:rPr>
        <w:t>sistema de supervisión y certificación de  inocuidad pecuaria</w:t>
      </w:r>
      <w:r w:rsidR="002966CB">
        <w:rPr>
          <w:rFonts w:ascii="Trebuchet MS" w:hAnsi="Trebuchet MS"/>
          <w:sz w:val="16"/>
          <w:szCs w:val="16"/>
        </w:rPr>
        <w:t xml:space="preserve">,  </w:t>
      </w:r>
      <w:r w:rsidR="002966CB" w:rsidRPr="00210F07">
        <w:rPr>
          <w:rFonts w:ascii="Trebuchet MS" w:hAnsi="Trebuchet MS"/>
          <w:sz w:val="16"/>
          <w:szCs w:val="16"/>
        </w:rPr>
        <w:t>con un porcentaje de cumplimiento del</w:t>
      </w:r>
      <w:r w:rsidRPr="007B55E1">
        <w:rPr>
          <w:rFonts w:ascii="Trebuchet MS" w:hAnsi="Trebuchet MS"/>
          <w:sz w:val="16"/>
          <w:szCs w:val="16"/>
        </w:rPr>
        <w:t xml:space="preserve">  </w:t>
      </w:r>
      <w:r w:rsidR="002966CB">
        <w:rPr>
          <w:rFonts w:ascii="Trebuchet MS" w:hAnsi="Trebuchet MS"/>
          <w:sz w:val="16"/>
          <w:szCs w:val="16"/>
        </w:rPr>
        <w:t xml:space="preserve">57, 100, 100, 64, 69, 84 y 100% </w:t>
      </w:r>
      <w:r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 w:rsidR="002966CB">
        <w:rPr>
          <w:rFonts w:ascii="Trebuchet MS" w:hAnsi="Trebuchet MS"/>
          <w:sz w:val="16"/>
          <w:szCs w:val="16"/>
        </w:rPr>
        <w:t>67</w:t>
      </w:r>
      <w:r w:rsidRPr="00210F07">
        <w:rPr>
          <w:rFonts w:ascii="Trebuchet MS" w:hAnsi="Trebuchet MS"/>
          <w:sz w:val="16"/>
          <w:szCs w:val="16"/>
        </w:rPr>
        <w:t>% en su Plan de Acción.</w:t>
      </w:r>
    </w:p>
    <w:p w:rsidR="002966CB" w:rsidRDefault="002966CB" w:rsidP="007B55E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2966CB">
        <w:rPr>
          <w:rFonts w:ascii="Trebuchet MS" w:hAnsi="Trebuchet MS"/>
          <w:sz w:val="16"/>
          <w:szCs w:val="16"/>
        </w:rPr>
        <w:t>protección fitosanitaria sobre las principales especies agrícolas del país</w:t>
      </w:r>
      <w:r>
        <w:rPr>
          <w:rFonts w:ascii="Trebuchet MS" w:hAnsi="Trebuchet MS"/>
          <w:sz w:val="16"/>
          <w:szCs w:val="16"/>
        </w:rPr>
        <w:t xml:space="preserve">, </w:t>
      </w:r>
      <w:r w:rsidRPr="002966CB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, </w:t>
      </w:r>
      <w:r w:rsidRPr="002966CB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>, con un porcentaje de cumplimiento del 57.8, 67 y 64% respectivamente, alcanzando así un 40% en su Plan de Acción.</w:t>
      </w:r>
    </w:p>
    <w:p w:rsidR="002966CB" w:rsidRPr="00210F07" w:rsidRDefault="002966CB" w:rsidP="002966CB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2966CB" w:rsidRDefault="002966CB" w:rsidP="002966CB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1A4D36C6" wp14:editId="02D94CB4">
            <wp:extent cx="5610758" cy="1997049"/>
            <wp:effectExtent l="0" t="0" r="9525" b="2286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3F9A" w:rsidRPr="00210F07" w:rsidRDefault="002B3F9A" w:rsidP="002B3F9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533B95" w:rsidRDefault="002B3F9A" w:rsidP="002B3F9A">
      <w:pPr>
        <w:pStyle w:val="NormalWeb"/>
        <w:shd w:val="clear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noProof/>
        </w:rPr>
        <w:drawing>
          <wp:inline distT="0" distB="0" distL="0" distR="0" wp14:anchorId="18F39EEA" wp14:editId="6AC602F4">
            <wp:extent cx="5526156" cy="2258170"/>
            <wp:effectExtent l="0" t="0" r="17780" b="279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36BA" w:rsidRPr="000836BA" w:rsidRDefault="000836BA" w:rsidP="00533B95">
      <w:pPr>
        <w:jc w:val="both"/>
        <w:rPr>
          <w:rFonts w:ascii="Trebuchet MS" w:hAnsi="Trebuchet MS"/>
          <w:szCs w:val="28"/>
        </w:rPr>
      </w:pPr>
    </w:p>
    <w:p w:rsidR="00F14AAD" w:rsidRDefault="00F14AAD" w:rsidP="002B3F9A">
      <w:pPr>
        <w:jc w:val="center"/>
        <w:rPr>
          <w:rFonts w:ascii="Trebuchet MS" w:hAnsi="Trebuchet MS"/>
          <w:b/>
          <w:sz w:val="28"/>
          <w:szCs w:val="28"/>
        </w:rPr>
      </w:pPr>
    </w:p>
    <w:p w:rsidR="002B3F9A" w:rsidRDefault="002B3F9A" w:rsidP="002B3F9A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GUAVIARE</w:t>
      </w:r>
    </w:p>
    <w:p w:rsidR="002B3F9A" w:rsidRDefault="002B3F9A" w:rsidP="002B3F9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Guaviare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C34E50"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49.1%</w:t>
      </w:r>
      <w:r w:rsidR="00AE79E8">
        <w:rPr>
          <w:rFonts w:ascii="Trebuchet MS" w:hAnsi="Trebuchet MS"/>
          <w:sz w:val="16"/>
          <w:szCs w:val="16"/>
        </w:rPr>
        <w:t xml:space="preserve"> </w:t>
      </w:r>
      <w:r w:rsidR="00AE79E8"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 w:rsidR="00AE79E8">
        <w:rPr>
          <w:rFonts w:ascii="Trebuchet MS" w:hAnsi="Trebuchet MS"/>
          <w:sz w:val="16"/>
          <w:szCs w:val="16"/>
        </w:rPr>
        <w:t xml:space="preserve">Seccional. En lo correspondiente al área </w:t>
      </w:r>
      <w:r w:rsidR="00AE79E8"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="00AE79E8"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 w:rsidR="00AE79E8">
        <w:rPr>
          <w:rFonts w:ascii="Trebuchet MS" w:hAnsi="Trebuchet MS"/>
          <w:sz w:val="16"/>
          <w:szCs w:val="16"/>
        </w:rPr>
        <w:t xml:space="preserve"> se destacan</w:t>
      </w:r>
      <w:r w:rsidR="00AE79E8" w:rsidRPr="00210F07">
        <w:rPr>
          <w:rFonts w:ascii="Trebuchet MS" w:hAnsi="Trebuchet MS"/>
          <w:sz w:val="16"/>
          <w:szCs w:val="16"/>
        </w:rPr>
        <w:t xml:space="preserve"> las Acciones Estratégicas</w:t>
      </w:r>
      <w:r w:rsidR="00AE79E8">
        <w:rPr>
          <w:rFonts w:ascii="Trebuchet MS" w:hAnsi="Trebuchet MS"/>
          <w:sz w:val="16"/>
          <w:szCs w:val="16"/>
        </w:rPr>
        <w:t xml:space="preserve"> de </w:t>
      </w:r>
      <w:r w:rsidR="00AE79E8" w:rsidRPr="00AE79E8">
        <w:rPr>
          <w:rFonts w:ascii="Trebuchet MS" w:hAnsi="Trebuchet MS"/>
          <w:sz w:val="16"/>
          <w:szCs w:val="16"/>
        </w:rPr>
        <w:t xml:space="preserve">zonas libres y de baja prevalencia enfermedades animales - erradicación de </w:t>
      </w:r>
      <w:r w:rsidR="00AE79E8">
        <w:rPr>
          <w:rFonts w:ascii="Trebuchet MS" w:hAnsi="Trebuchet MS"/>
          <w:sz w:val="16"/>
          <w:szCs w:val="16"/>
        </w:rPr>
        <w:t>B</w:t>
      </w:r>
      <w:r w:rsidR="00AE79E8" w:rsidRPr="00AE79E8">
        <w:rPr>
          <w:rFonts w:ascii="Trebuchet MS" w:hAnsi="Trebuchet MS"/>
          <w:sz w:val="16"/>
          <w:szCs w:val="16"/>
        </w:rPr>
        <w:t>rucelosis</w:t>
      </w:r>
      <w:r w:rsidR="00AE79E8">
        <w:rPr>
          <w:rFonts w:ascii="Trebuchet MS" w:hAnsi="Trebuchet MS"/>
          <w:sz w:val="16"/>
          <w:szCs w:val="16"/>
        </w:rPr>
        <w:t xml:space="preserve">, </w:t>
      </w:r>
      <w:r w:rsidR="00AE79E8" w:rsidRPr="00AE79E8">
        <w:rPr>
          <w:rFonts w:ascii="Trebuchet MS" w:hAnsi="Trebuchet MS"/>
          <w:sz w:val="16"/>
          <w:szCs w:val="16"/>
        </w:rPr>
        <w:t>sistema de información y vigilancia epidemiológica animal</w:t>
      </w:r>
      <w:r w:rsidR="00AE79E8">
        <w:rPr>
          <w:rFonts w:ascii="Trebuchet MS" w:hAnsi="Trebuchet MS"/>
          <w:sz w:val="16"/>
          <w:szCs w:val="16"/>
        </w:rPr>
        <w:t xml:space="preserve"> y </w:t>
      </w:r>
      <w:r w:rsidR="00AE79E8" w:rsidRPr="00AE79E8">
        <w:rPr>
          <w:rFonts w:ascii="Trebuchet MS" w:hAnsi="Trebuchet MS"/>
          <w:sz w:val="16"/>
          <w:szCs w:val="16"/>
        </w:rPr>
        <w:t>combatir insumos agropecuarios ilegales y formalización productores</w:t>
      </w:r>
      <w:r w:rsidR="00AE79E8">
        <w:rPr>
          <w:rFonts w:ascii="Trebuchet MS" w:hAnsi="Trebuchet MS"/>
          <w:sz w:val="16"/>
          <w:szCs w:val="16"/>
        </w:rPr>
        <w:t xml:space="preserve"> </w:t>
      </w:r>
      <w:r w:rsidR="00AE79E8" w:rsidRPr="00210F07">
        <w:rPr>
          <w:rFonts w:ascii="Trebuchet MS" w:hAnsi="Trebuchet MS"/>
          <w:sz w:val="16"/>
          <w:szCs w:val="16"/>
        </w:rPr>
        <w:t>con un porcentaje de cumplimiento del</w:t>
      </w:r>
      <w:r w:rsidR="00AE79E8" w:rsidRPr="007B55E1">
        <w:rPr>
          <w:rFonts w:ascii="Trebuchet MS" w:hAnsi="Trebuchet MS"/>
          <w:sz w:val="16"/>
          <w:szCs w:val="16"/>
        </w:rPr>
        <w:t xml:space="preserve">  </w:t>
      </w:r>
      <w:r w:rsidR="00AE79E8">
        <w:rPr>
          <w:rFonts w:ascii="Trebuchet MS" w:hAnsi="Trebuchet MS"/>
          <w:sz w:val="16"/>
          <w:szCs w:val="16"/>
        </w:rPr>
        <w:t xml:space="preserve">52, 79 y 51% </w:t>
      </w:r>
      <w:r w:rsidR="00AE79E8"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 w:rsidR="00AE79E8">
        <w:rPr>
          <w:rFonts w:ascii="Trebuchet MS" w:hAnsi="Trebuchet MS"/>
          <w:sz w:val="16"/>
          <w:szCs w:val="16"/>
        </w:rPr>
        <w:t>40</w:t>
      </w:r>
      <w:r w:rsidR="00AE79E8" w:rsidRPr="00210F07">
        <w:rPr>
          <w:rFonts w:ascii="Trebuchet MS" w:hAnsi="Trebuchet MS"/>
          <w:sz w:val="16"/>
          <w:szCs w:val="16"/>
        </w:rPr>
        <w:t>% en su Plan de Acción.</w:t>
      </w:r>
    </w:p>
    <w:p w:rsidR="00AE79E8" w:rsidRDefault="00AE79E8" w:rsidP="002B3F9A">
      <w:pPr>
        <w:jc w:val="both"/>
        <w:rPr>
          <w:rFonts w:ascii="Trebuchet MS" w:hAnsi="Trebuchet MS"/>
          <w:b/>
          <w:sz w:val="28"/>
          <w:szCs w:val="28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AE79E8">
        <w:rPr>
          <w:rFonts w:ascii="Trebuchet MS" w:hAnsi="Trebuchet MS"/>
          <w:sz w:val="16"/>
          <w:szCs w:val="16"/>
        </w:rPr>
        <w:t>control técnico a las semillas, bioseguridad y derechos de obtentor</w:t>
      </w:r>
      <w:r>
        <w:rPr>
          <w:rFonts w:ascii="Trebuchet MS" w:hAnsi="Trebuchet MS"/>
          <w:sz w:val="16"/>
          <w:szCs w:val="16"/>
        </w:rPr>
        <w:t xml:space="preserve">, </w:t>
      </w:r>
      <w:r w:rsidRPr="00AE79E8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, </w:t>
      </w:r>
      <w:r w:rsidRPr="00AE79E8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 y </w:t>
      </w:r>
      <w:r w:rsidRPr="00AE79E8">
        <w:rPr>
          <w:rFonts w:ascii="Trebuchet MS" w:hAnsi="Trebuchet MS"/>
          <w:sz w:val="16"/>
          <w:szCs w:val="16"/>
        </w:rPr>
        <w:t>protección fitosanitaria sobre las principales especies agrícolas del país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 w:rsidRPr="007B55E1">
        <w:rPr>
          <w:rFonts w:ascii="Trebuchet MS" w:hAnsi="Trebuchet MS"/>
          <w:sz w:val="16"/>
          <w:szCs w:val="16"/>
        </w:rPr>
        <w:t xml:space="preserve">  </w:t>
      </w:r>
      <w:r>
        <w:rPr>
          <w:rFonts w:ascii="Trebuchet MS" w:hAnsi="Trebuchet MS"/>
          <w:sz w:val="16"/>
          <w:szCs w:val="16"/>
        </w:rPr>
        <w:t>60, 66, 67 y 61.5% respectivamente, alcanzando así un 58% en su Plan de Acción.</w:t>
      </w:r>
    </w:p>
    <w:p w:rsidR="00AE79E8" w:rsidRPr="00210F07" w:rsidRDefault="00AE79E8" w:rsidP="00AE79E8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B8498D" w:rsidRDefault="00AE79E8" w:rsidP="00AE79E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79C2F87D" wp14:editId="3D0D51A1">
            <wp:extent cx="5610758" cy="2392071"/>
            <wp:effectExtent l="0" t="0" r="9525" b="2730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4E44" w:rsidRPr="00210F07" w:rsidRDefault="000F4E44" w:rsidP="000F4E44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B8498D" w:rsidRDefault="000F4E44" w:rsidP="000F4E44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37C3B777" wp14:editId="6E874326">
            <wp:extent cx="5612130" cy="2430780"/>
            <wp:effectExtent l="0" t="0" r="26670" b="2667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4E44" w:rsidRDefault="000F4E44" w:rsidP="000F4E44">
      <w:pPr>
        <w:jc w:val="center"/>
        <w:rPr>
          <w:rFonts w:ascii="Trebuchet MS" w:hAnsi="Trebuchet MS"/>
        </w:rPr>
      </w:pPr>
    </w:p>
    <w:p w:rsidR="00DB5852" w:rsidRDefault="00DB5852" w:rsidP="00DB5852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CUNDINAMARCA</w:t>
      </w:r>
    </w:p>
    <w:p w:rsidR="00C6521E" w:rsidRDefault="00DB5852" w:rsidP="00C6521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Cundinamarca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C34E50"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53.8%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DB5852">
        <w:rPr>
          <w:rFonts w:ascii="Trebuchet MS" w:hAnsi="Trebuchet MS"/>
          <w:sz w:val="16"/>
          <w:szCs w:val="16"/>
        </w:rPr>
        <w:t>zonas libres y baja prevalencia enfermedades animales - fiebre aftosa</w:t>
      </w:r>
      <w:r>
        <w:rPr>
          <w:rFonts w:ascii="Trebuchet MS" w:hAnsi="Trebuchet MS"/>
          <w:sz w:val="16"/>
          <w:szCs w:val="16"/>
        </w:rPr>
        <w:t xml:space="preserve">, </w:t>
      </w:r>
      <w:r w:rsidRPr="00DB5852">
        <w:rPr>
          <w:rFonts w:ascii="Trebuchet MS" w:hAnsi="Trebuchet MS"/>
          <w:sz w:val="16"/>
          <w:szCs w:val="16"/>
        </w:rPr>
        <w:t>zonas libres y de baja prevalencia enfermeda</w:t>
      </w:r>
      <w:r>
        <w:rPr>
          <w:rFonts w:ascii="Trebuchet MS" w:hAnsi="Trebuchet MS"/>
          <w:sz w:val="16"/>
          <w:szCs w:val="16"/>
        </w:rPr>
        <w:t>des animales - erradicación de B</w:t>
      </w:r>
      <w:r w:rsidRPr="00DB5852">
        <w:rPr>
          <w:rFonts w:ascii="Trebuchet MS" w:hAnsi="Trebuchet MS"/>
          <w:sz w:val="16"/>
          <w:szCs w:val="16"/>
        </w:rPr>
        <w:t>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DB5852">
        <w:rPr>
          <w:rFonts w:ascii="Trebuchet MS" w:hAnsi="Trebuchet MS"/>
          <w:sz w:val="16"/>
          <w:szCs w:val="16"/>
        </w:rPr>
        <w:t xml:space="preserve">zonas libres y de baja prevalencia enfermedades animales - erradicación de </w:t>
      </w:r>
      <w:r>
        <w:rPr>
          <w:rFonts w:ascii="Trebuchet MS" w:hAnsi="Trebuchet MS"/>
          <w:sz w:val="16"/>
          <w:szCs w:val="16"/>
        </w:rPr>
        <w:t>T</w:t>
      </w:r>
      <w:r w:rsidRPr="00DB5852">
        <w:rPr>
          <w:rFonts w:ascii="Trebuchet MS" w:hAnsi="Trebuchet MS"/>
          <w:sz w:val="16"/>
          <w:szCs w:val="16"/>
        </w:rPr>
        <w:t>uberculosis</w:t>
      </w:r>
      <w:r>
        <w:rPr>
          <w:rFonts w:ascii="Trebuchet MS" w:hAnsi="Trebuchet MS"/>
          <w:sz w:val="16"/>
          <w:szCs w:val="16"/>
        </w:rPr>
        <w:t xml:space="preserve">, </w:t>
      </w:r>
      <w:r w:rsidRPr="00DB5852">
        <w:rPr>
          <w:rFonts w:ascii="Trebuchet MS" w:hAnsi="Trebuchet MS"/>
          <w:sz w:val="16"/>
          <w:szCs w:val="16"/>
        </w:rPr>
        <w:t>zonas libres y de baja prevalencia enfermedades animales  - enfermedades aviares</w:t>
      </w:r>
      <w:r>
        <w:rPr>
          <w:rFonts w:ascii="Trebuchet MS" w:hAnsi="Trebuchet MS"/>
          <w:sz w:val="16"/>
          <w:szCs w:val="16"/>
        </w:rPr>
        <w:t xml:space="preserve">, </w:t>
      </w:r>
      <w:r w:rsidRPr="00DB5852">
        <w:rPr>
          <w:rFonts w:ascii="Trebuchet MS" w:hAnsi="Trebuchet MS"/>
          <w:sz w:val="16"/>
          <w:szCs w:val="16"/>
        </w:rPr>
        <w:t>control  y erradicación de enfermedades en animales</w:t>
      </w:r>
      <w:r>
        <w:rPr>
          <w:rFonts w:ascii="Trebuchet MS" w:hAnsi="Trebuchet MS"/>
          <w:sz w:val="16"/>
          <w:szCs w:val="16"/>
        </w:rPr>
        <w:t xml:space="preserve">, </w:t>
      </w:r>
      <w:r w:rsidRPr="00DB5852">
        <w:rPr>
          <w:rFonts w:ascii="Trebuchet MS" w:hAnsi="Trebuchet MS"/>
          <w:sz w:val="16"/>
          <w:szCs w:val="16"/>
        </w:rPr>
        <w:t>sistema de información y vigilancia epidemiológica animal</w:t>
      </w:r>
      <w:r>
        <w:rPr>
          <w:rFonts w:ascii="Trebuchet MS" w:hAnsi="Trebuchet MS"/>
          <w:sz w:val="16"/>
          <w:szCs w:val="16"/>
        </w:rPr>
        <w:t xml:space="preserve"> y </w:t>
      </w:r>
      <w:r w:rsidRPr="00DB5852">
        <w:rPr>
          <w:rFonts w:ascii="Trebuchet MS" w:hAnsi="Trebuchet MS"/>
          <w:sz w:val="16"/>
          <w:szCs w:val="16"/>
        </w:rPr>
        <w:t>combatir insumos agropecuario ilegales y formalización productores</w:t>
      </w:r>
      <w:r>
        <w:rPr>
          <w:rFonts w:ascii="Trebuchet MS" w:hAnsi="Trebuchet MS"/>
          <w:sz w:val="16"/>
          <w:szCs w:val="16"/>
        </w:rPr>
        <w:t xml:space="preserve">, </w:t>
      </w:r>
      <w:r w:rsidR="00C6521E" w:rsidRPr="00210F07">
        <w:rPr>
          <w:rFonts w:ascii="Trebuchet MS" w:hAnsi="Trebuchet MS"/>
          <w:sz w:val="16"/>
          <w:szCs w:val="16"/>
        </w:rPr>
        <w:t>con un porcentaje de cumplimiento del</w:t>
      </w:r>
      <w:r w:rsidR="00C6521E" w:rsidRPr="007B55E1">
        <w:rPr>
          <w:rFonts w:ascii="Trebuchet MS" w:hAnsi="Trebuchet MS"/>
          <w:sz w:val="16"/>
          <w:szCs w:val="16"/>
        </w:rPr>
        <w:t xml:space="preserve">  </w:t>
      </w:r>
      <w:r w:rsidR="00C6521E">
        <w:rPr>
          <w:rFonts w:ascii="Trebuchet MS" w:hAnsi="Trebuchet MS"/>
          <w:sz w:val="16"/>
          <w:szCs w:val="16"/>
        </w:rPr>
        <w:t xml:space="preserve">65, 74, 75, 68, 74, 59 y 63% </w:t>
      </w:r>
      <w:r w:rsidR="00C6521E"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 w:rsidR="00C6521E">
        <w:rPr>
          <w:rFonts w:ascii="Trebuchet MS" w:hAnsi="Trebuchet MS"/>
          <w:sz w:val="16"/>
          <w:szCs w:val="16"/>
        </w:rPr>
        <w:t>62</w:t>
      </w:r>
      <w:r w:rsidR="00C6521E" w:rsidRPr="00210F07">
        <w:rPr>
          <w:rFonts w:ascii="Trebuchet MS" w:hAnsi="Trebuchet MS"/>
          <w:sz w:val="16"/>
          <w:szCs w:val="16"/>
        </w:rPr>
        <w:t>% en su Plan de Acción.</w:t>
      </w:r>
    </w:p>
    <w:p w:rsidR="00C6521E" w:rsidRDefault="00C6521E" w:rsidP="00C6521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D</w:t>
      </w:r>
      <w:r w:rsidRPr="00C6521E">
        <w:rPr>
          <w:rFonts w:ascii="Trebuchet MS" w:hAnsi="Trebuchet MS"/>
          <w:sz w:val="16"/>
          <w:szCs w:val="16"/>
        </w:rPr>
        <w:t>etección, control y erradicación - plan nacional de mosca de la fruta -pnmf-</w:t>
      </w:r>
      <w:r>
        <w:rPr>
          <w:rFonts w:ascii="Trebuchet MS" w:hAnsi="Trebuchet MS"/>
          <w:sz w:val="16"/>
          <w:szCs w:val="16"/>
        </w:rPr>
        <w:t xml:space="preserve">, </w:t>
      </w:r>
      <w:r w:rsidRPr="00C6521E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, </w:t>
      </w:r>
      <w:r w:rsidRPr="00C6521E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 xml:space="preserve">, y </w:t>
      </w:r>
      <w:r w:rsidRPr="00C6521E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52, 50, 62.5 y 97.6% </w:t>
      </w:r>
      <w:r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>
        <w:rPr>
          <w:rFonts w:ascii="Trebuchet MS" w:hAnsi="Trebuchet MS"/>
          <w:sz w:val="16"/>
          <w:szCs w:val="16"/>
        </w:rPr>
        <w:t>49</w:t>
      </w:r>
      <w:r w:rsidRPr="00210F07">
        <w:rPr>
          <w:rFonts w:ascii="Trebuchet MS" w:hAnsi="Trebuchet MS"/>
          <w:sz w:val="16"/>
          <w:szCs w:val="16"/>
        </w:rPr>
        <w:t>% en su Plan de Acción.</w:t>
      </w:r>
    </w:p>
    <w:p w:rsidR="00C6521E" w:rsidRDefault="00C6521E" w:rsidP="00C6521E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sz w:val="16"/>
          <w:szCs w:val="16"/>
        </w:rPr>
        <w:t xml:space="preserve"> se destaca la </w:t>
      </w:r>
      <w:r w:rsidRPr="00C6521E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 fluvial, área o terrestre</w:t>
      </w:r>
      <w:r>
        <w:rPr>
          <w:rFonts w:ascii="Trebuchet MS" w:hAnsi="Trebuchet MS"/>
          <w:sz w:val="16"/>
          <w:szCs w:val="16"/>
        </w:rPr>
        <w:t xml:space="preserve"> y </w:t>
      </w:r>
      <w:r w:rsidRPr="00C6521E">
        <w:rPr>
          <w:rFonts w:ascii="Trebuchet MS" w:hAnsi="Trebuchet MS"/>
          <w:sz w:val="16"/>
          <w:szCs w:val="16"/>
        </w:rPr>
        <w:t>certificar el estado sanitario y fitosanitario de las exportaciones agropecuarias para contribuir con el mantenimiento de la admisibilidad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51 y 49.6% </w:t>
      </w:r>
      <w:r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>
        <w:rPr>
          <w:rFonts w:ascii="Trebuchet MS" w:hAnsi="Trebuchet MS"/>
          <w:sz w:val="16"/>
          <w:szCs w:val="16"/>
        </w:rPr>
        <w:t>50</w:t>
      </w:r>
      <w:r w:rsidRPr="00210F07">
        <w:rPr>
          <w:rFonts w:ascii="Trebuchet MS" w:hAnsi="Trebuchet MS"/>
          <w:sz w:val="16"/>
          <w:szCs w:val="16"/>
        </w:rPr>
        <w:t>% en su Plan de Acción.</w:t>
      </w:r>
    </w:p>
    <w:p w:rsidR="00C6521E" w:rsidRPr="00210F07" w:rsidRDefault="00C6521E" w:rsidP="00C6521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C6521E" w:rsidRDefault="00C6521E" w:rsidP="00C6521E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25099EA0" wp14:editId="1423C7EE">
            <wp:extent cx="5610758" cy="1938528"/>
            <wp:effectExtent l="0" t="0" r="9525" b="2413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1F47" w:rsidRPr="00210F07" w:rsidRDefault="00821F47" w:rsidP="00821F47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DB5852" w:rsidRDefault="00821F47" w:rsidP="00821F47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56DA51B3" wp14:editId="65F1B1D7">
            <wp:extent cx="5610758" cy="2055571"/>
            <wp:effectExtent l="0" t="0" r="9525" b="2095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C7A85" w:rsidRDefault="004C7A85" w:rsidP="004C7A85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CALDAS</w:t>
      </w:r>
    </w:p>
    <w:p w:rsidR="00DB5852" w:rsidRDefault="004C7A85" w:rsidP="004C7A85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Caldas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47.4%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4C7A85">
        <w:rPr>
          <w:rFonts w:ascii="Trebuchet MS" w:hAnsi="Trebuchet MS"/>
          <w:sz w:val="16"/>
          <w:szCs w:val="16"/>
        </w:rPr>
        <w:t xml:space="preserve">zonas libres y baja prevalencia enfermedades animales - fiebre aftosa, zonas libres y de baja prevalencia enfermedades animales - erradicación de brucelosis, zonas libres y de baja prevalencia enfermedades animales   - </w:t>
      </w:r>
      <w:r>
        <w:rPr>
          <w:rFonts w:ascii="Trebuchet MS" w:hAnsi="Trebuchet MS"/>
          <w:sz w:val="16"/>
          <w:szCs w:val="16"/>
        </w:rPr>
        <w:t>PPC</w:t>
      </w:r>
      <w:r w:rsidRPr="004C7A85">
        <w:rPr>
          <w:rFonts w:ascii="Trebuchet MS" w:hAnsi="Trebuchet MS"/>
          <w:sz w:val="16"/>
          <w:szCs w:val="16"/>
        </w:rPr>
        <w:t xml:space="preserve">, zonas libres y de baja prevalencia enfermedades animales - encefalopatía espongiforme bovina- </w:t>
      </w:r>
      <w:r>
        <w:rPr>
          <w:rFonts w:ascii="Trebuchet MS" w:hAnsi="Trebuchet MS"/>
          <w:sz w:val="16"/>
          <w:szCs w:val="16"/>
        </w:rPr>
        <w:t>EEB</w:t>
      </w:r>
      <w:r w:rsidRPr="004C7A85">
        <w:rPr>
          <w:rFonts w:ascii="Trebuchet MS" w:hAnsi="Trebuchet MS"/>
          <w:sz w:val="16"/>
          <w:szCs w:val="16"/>
        </w:rPr>
        <w:t>, control  y erradicación de enfermedades en animales, sistema de información y vigilancia epidemiológica animal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79, 74, 95, 68, 78 y 69% </w:t>
      </w:r>
      <w:r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>
        <w:rPr>
          <w:rFonts w:ascii="Trebuchet MS" w:hAnsi="Trebuchet MS"/>
          <w:sz w:val="16"/>
          <w:szCs w:val="16"/>
        </w:rPr>
        <w:t>66</w:t>
      </w:r>
      <w:r w:rsidRPr="00210F07">
        <w:rPr>
          <w:rFonts w:ascii="Trebuchet MS" w:hAnsi="Trebuchet MS"/>
          <w:sz w:val="16"/>
          <w:szCs w:val="16"/>
        </w:rPr>
        <w:t>% en su Plan de Acción.</w:t>
      </w:r>
    </w:p>
    <w:p w:rsidR="00EF2BCA" w:rsidRDefault="004C7A85" w:rsidP="00EF2BC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4C7A85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4C7A85">
        <w:rPr>
          <w:rFonts w:ascii="Trebuchet MS" w:hAnsi="Trebuchet MS"/>
          <w:sz w:val="16"/>
          <w:szCs w:val="16"/>
        </w:rPr>
        <w:t>control y mantenimiento de áreas libres y de baja prevalencia en los cu</w:t>
      </w:r>
      <w:r w:rsidR="00EF2BCA">
        <w:rPr>
          <w:rFonts w:ascii="Trebuchet MS" w:hAnsi="Trebuchet MS"/>
          <w:sz w:val="16"/>
          <w:szCs w:val="16"/>
        </w:rPr>
        <w:t xml:space="preserve">ltivos ornamentales y de algodón, </w:t>
      </w:r>
      <w:r w:rsidR="00EF2BCA" w:rsidRPr="00210F07">
        <w:rPr>
          <w:rFonts w:ascii="Trebuchet MS" w:hAnsi="Trebuchet MS"/>
          <w:sz w:val="16"/>
          <w:szCs w:val="16"/>
        </w:rPr>
        <w:t>con un porcentaje de cumplimiento del</w:t>
      </w:r>
      <w:r w:rsidR="00EF2BCA">
        <w:rPr>
          <w:rFonts w:ascii="Trebuchet MS" w:hAnsi="Trebuchet MS"/>
          <w:sz w:val="16"/>
          <w:szCs w:val="16"/>
        </w:rPr>
        <w:t xml:space="preserve"> 72 y 72.4% </w:t>
      </w:r>
      <w:r w:rsidR="00EF2BCA"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 w:rsidR="00EF2BCA">
        <w:rPr>
          <w:rFonts w:ascii="Trebuchet MS" w:hAnsi="Trebuchet MS"/>
          <w:sz w:val="16"/>
          <w:szCs w:val="16"/>
        </w:rPr>
        <w:t>37.7</w:t>
      </w:r>
      <w:r w:rsidR="00EF2BCA" w:rsidRPr="00210F07">
        <w:rPr>
          <w:rFonts w:ascii="Trebuchet MS" w:hAnsi="Trebuchet MS"/>
          <w:sz w:val="16"/>
          <w:szCs w:val="16"/>
        </w:rPr>
        <w:t>% en su Plan de Acción.</w:t>
      </w:r>
    </w:p>
    <w:p w:rsidR="00EF2BCA" w:rsidRDefault="00EF2BCA" w:rsidP="00EF2BCA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EF2BCA">
        <w:rPr>
          <w:rFonts w:ascii="Trebuchet MS" w:hAnsi="Trebuchet MS"/>
          <w:sz w:val="16"/>
          <w:szCs w:val="16"/>
        </w:rPr>
        <w:t>consolidación del servicio en la red oficial de diagnóstico fitosanitario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50% </w:t>
      </w:r>
      <w:r w:rsidRPr="00210F07">
        <w:rPr>
          <w:rFonts w:ascii="Trebuchet MS" w:hAnsi="Trebuchet MS"/>
          <w:sz w:val="16"/>
          <w:szCs w:val="16"/>
        </w:rPr>
        <w:t xml:space="preserve">respectivamente, alcanzando así  un </w:t>
      </w:r>
      <w:r>
        <w:rPr>
          <w:rFonts w:ascii="Trebuchet MS" w:hAnsi="Trebuchet MS"/>
          <w:sz w:val="16"/>
          <w:szCs w:val="16"/>
        </w:rPr>
        <w:t>38</w:t>
      </w:r>
      <w:r w:rsidRPr="00210F07">
        <w:rPr>
          <w:rFonts w:ascii="Trebuchet MS" w:hAnsi="Trebuchet MS"/>
          <w:sz w:val="16"/>
          <w:szCs w:val="16"/>
        </w:rPr>
        <w:t>% en su Plan de Acción.</w:t>
      </w:r>
    </w:p>
    <w:p w:rsidR="00EF2BCA" w:rsidRPr="00210F07" w:rsidRDefault="00EF2BCA" w:rsidP="00EF2BC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EF2BCA" w:rsidRDefault="00EF2BCA" w:rsidP="00EF2BCA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5030A31A" wp14:editId="6647F49F">
            <wp:extent cx="5442508" cy="2165299"/>
            <wp:effectExtent l="0" t="0" r="25400" b="2603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17E37" w:rsidRPr="00210F07" w:rsidRDefault="00917E37" w:rsidP="00917E37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4C7A85" w:rsidRDefault="00917E37" w:rsidP="00B12100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6B4BC01D" wp14:editId="6DD9E6C0">
            <wp:extent cx="5515660" cy="2289658"/>
            <wp:effectExtent l="0" t="0" r="27940" b="1587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369B7" w:rsidRDefault="00A369B7" w:rsidP="00A369B7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CAUCA</w:t>
      </w:r>
    </w:p>
    <w:p w:rsidR="00B12100" w:rsidRDefault="00F403D0" w:rsidP="00B12100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Cauca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="00B30ED1">
        <w:rPr>
          <w:rFonts w:ascii="Trebuchet MS" w:hAnsi="Trebuchet MS"/>
          <w:sz w:val="16"/>
          <w:szCs w:val="16"/>
        </w:rPr>
        <w:t>45.9</w:t>
      </w:r>
      <w:r w:rsidRPr="00D323EA">
        <w:rPr>
          <w:rFonts w:ascii="Trebuchet MS" w:hAnsi="Trebuchet MS"/>
          <w:b/>
          <w:sz w:val="16"/>
          <w:szCs w:val="16"/>
        </w:rPr>
        <w:t>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</w:t>
      </w:r>
      <w:r w:rsidR="00B12100">
        <w:rPr>
          <w:rFonts w:ascii="Trebuchet MS" w:hAnsi="Trebuchet MS"/>
          <w:sz w:val="16"/>
          <w:szCs w:val="16"/>
        </w:rPr>
        <w:t xml:space="preserve"> </w:t>
      </w:r>
      <w:r w:rsidR="00B12100" w:rsidRPr="00B12100">
        <w:rPr>
          <w:rFonts w:ascii="Trebuchet MS" w:hAnsi="Trebuchet MS"/>
          <w:sz w:val="16"/>
          <w:szCs w:val="16"/>
        </w:rPr>
        <w:t>zonas libres y baja prevalencia enfermedades animales - fiebre aftosa, zonas libres y de baja prevalencia enfermedades animales  - enfermedades aviares,  combatir insumos agropecuarios ilegales y formalización productores</w:t>
      </w:r>
      <w:r w:rsidR="00B12100">
        <w:rPr>
          <w:rFonts w:ascii="Trebuchet MS" w:hAnsi="Trebuchet MS"/>
          <w:sz w:val="16"/>
          <w:szCs w:val="16"/>
        </w:rPr>
        <w:t xml:space="preserve">, </w:t>
      </w:r>
      <w:r w:rsidR="00B12100" w:rsidRPr="00210F07">
        <w:rPr>
          <w:rFonts w:ascii="Trebuchet MS" w:hAnsi="Trebuchet MS"/>
          <w:sz w:val="16"/>
          <w:szCs w:val="16"/>
        </w:rPr>
        <w:t>con un porcentaje de cumplimiento del</w:t>
      </w:r>
      <w:r w:rsidR="00B12100">
        <w:rPr>
          <w:rFonts w:ascii="Trebuchet MS" w:hAnsi="Trebuchet MS"/>
          <w:sz w:val="16"/>
          <w:szCs w:val="16"/>
        </w:rPr>
        <w:t xml:space="preserve"> 84, 58 y 74% </w:t>
      </w:r>
      <w:r w:rsidR="00B12100" w:rsidRPr="00210F07">
        <w:rPr>
          <w:rFonts w:ascii="Trebuchet MS" w:hAnsi="Trebuchet MS"/>
          <w:sz w:val="16"/>
          <w:szCs w:val="16"/>
        </w:rPr>
        <w:t>respectivamente, alcanzando así  un</w:t>
      </w:r>
      <w:r w:rsidR="00B12100">
        <w:rPr>
          <w:rFonts w:ascii="Trebuchet MS" w:hAnsi="Trebuchet MS"/>
          <w:sz w:val="16"/>
          <w:szCs w:val="16"/>
        </w:rPr>
        <w:t xml:space="preserve"> 54% </w:t>
      </w:r>
      <w:r w:rsidR="00B12100" w:rsidRPr="00210F07">
        <w:rPr>
          <w:rFonts w:ascii="Trebuchet MS" w:hAnsi="Trebuchet MS"/>
          <w:sz w:val="16"/>
          <w:szCs w:val="16"/>
        </w:rPr>
        <w:t>en su Plan de Acción.</w:t>
      </w:r>
    </w:p>
    <w:p w:rsidR="00B12100" w:rsidRDefault="00B12100" w:rsidP="00B12100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="003E537F" w:rsidRPr="003E537F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 w:rsidR="003E537F">
        <w:rPr>
          <w:rFonts w:ascii="Trebuchet MS" w:hAnsi="Trebuchet MS"/>
          <w:sz w:val="16"/>
          <w:szCs w:val="16"/>
        </w:rPr>
        <w:t xml:space="preserve">, </w:t>
      </w:r>
      <w:r w:rsidR="003E537F" w:rsidRPr="003E537F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 w:rsidR="003E537F">
        <w:rPr>
          <w:rFonts w:ascii="Trebuchet MS" w:hAnsi="Trebuchet MS"/>
          <w:sz w:val="16"/>
          <w:szCs w:val="16"/>
        </w:rPr>
        <w:t xml:space="preserve">, </w:t>
      </w:r>
      <w:r w:rsidR="003E537F" w:rsidRPr="00210F07">
        <w:rPr>
          <w:rFonts w:ascii="Trebuchet MS" w:hAnsi="Trebuchet MS"/>
          <w:sz w:val="16"/>
          <w:szCs w:val="16"/>
        </w:rPr>
        <w:t>con un porcentaje de cumplimiento del</w:t>
      </w:r>
      <w:r w:rsidR="003E537F">
        <w:rPr>
          <w:rFonts w:ascii="Trebuchet MS" w:hAnsi="Trebuchet MS"/>
          <w:sz w:val="16"/>
          <w:szCs w:val="16"/>
        </w:rPr>
        <w:t xml:space="preserve"> 50 y 53.3% </w:t>
      </w:r>
      <w:r w:rsidR="003E537F" w:rsidRPr="00210F07">
        <w:rPr>
          <w:rFonts w:ascii="Trebuchet MS" w:hAnsi="Trebuchet MS"/>
          <w:sz w:val="16"/>
          <w:szCs w:val="16"/>
        </w:rPr>
        <w:t>respectivamente, alcanzando así  un</w:t>
      </w:r>
      <w:r w:rsidR="003E537F">
        <w:rPr>
          <w:rFonts w:ascii="Trebuchet MS" w:hAnsi="Trebuchet MS"/>
          <w:sz w:val="16"/>
          <w:szCs w:val="16"/>
        </w:rPr>
        <w:t xml:space="preserve"> 24% </w:t>
      </w:r>
      <w:r w:rsidR="003E537F" w:rsidRPr="00210F07">
        <w:rPr>
          <w:rFonts w:ascii="Trebuchet MS" w:hAnsi="Trebuchet MS"/>
          <w:sz w:val="16"/>
          <w:szCs w:val="16"/>
        </w:rPr>
        <w:t>en su Plan de Acción.</w:t>
      </w:r>
    </w:p>
    <w:p w:rsidR="003E537F" w:rsidRDefault="003E537F" w:rsidP="00B12100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3E537F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50.6%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50.6% en su plan de acción. </w:t>
      </w:r>
    </w:p>
    <w:p w:rsidR="003E537F" w:rsidRPr="00210F07" w:rsidRDefault="003E537F" w:rsidP="003E537F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0E5D8B" w:rsidRDefault="003E537F" w:rsidP="003E537F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1F50C6DF" wp14:editId="5C38C117">
            <wp:extent cx="5613621" cy="2091193"/>
            <wp:effectExtent l="0" t="0" r="25400" b="2349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E537F" w:rsidRDefault="003E537F" w:rsidP="00D062D3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D062D3" w:rsidRDefault="00B30ED1" w:rsidP="00D062D3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4C22F3CA" wp14:editId="42458979">
            <wp:extent cx="5589767" cy="2289976"/>
            <wp:effectExtent l="0" t="0" r="11430" b="15240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E3382" w:rsidRDefault="004E3382" w:rsidP="004E3382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RISARALDA</w:t>
      </w:r>
    </w:p>
    <w:p w:rsidR="004E3382" w:rsidRDefault="004E3382" w:rsidP="004E3382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Risaralda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55.1%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4E3382">
        <w:rPr>
          <w:rFonts w:ascii="Trebuchet MS" w:hAnsi="Trebuchet MS"/>
          <w:sz w:val="18"/>
          <w:szCs w:val="18"/>
        </w:rPr>
        <w:t>zonas libres y baja prevalencia enfermedades animales - fiebre aftosa, zonas libres y de baja prevalencia enfermedades animales - erradicación de brucelosis, zonas libres y de baja prevalencia enfermedades animales - erradicación de tuberculosis, sistema de información y vigilancia epidemiológica animal, combatir insumos agropecuario ilegales y formalización productores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65, 98, 100, 75 y 81%</w:t>
      </w:r>
      <w:r>
        <w:rPr>
          <w:rFonts w:ascii="Trebuchet MS" w:hAnsi="Trebuchet MS"/>
          <w:sz w:val="18"/>
          <w:szCs w:val="18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67%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4E3382" w:rsidRDefault="004E3382" w:rsidP="004E3382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</w:t>
      </w:r>
      <w:r w:rsidR="00381111">
        <w:rPr>
          <w:rFonts w:ascii="Trebuchet MS" w:hAnsi="Trebuchet MS"/>
          <w:sz w:val="16"/>
          <w:szCs w:val="16"/>
        </w:rPr>
        <w:t xml:space="preserve"> </w:t>
      </w:r>
      <w:r w:rsidR="00381111" w:rsidRPr="00381111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 w:rsidR="00381111">
        <w:rPr>
          <w:rFonts w:ascii="Trebuchet MS" w:hAnsi="Trebuchet MS"/>
          <w:sz w:val="16"/>
          <w:szCs w:val="16"/>
        </w:rPr>
        <w:t xml:space="preserve">,  </w:t>
      </w:r>
      <w:r w:rsidR="00381111" w:rsidRPr="004E3382">
        <w:rPr>
          <w:rFonts w:ascii="Trebuchet MS" w:hAnsi="Trebuchet MS"/>
          <w:sz w:val="16"/>
          <w:szCs w:val="16"/>
        </w:rPr>
        <w:t>protección fitosanitaria en cultivos de plátano y banano</w:t>
      </w:r>
      <w:r w:rsidR="00381111">
        <w:rPr>
          <w:rFonts w:ascii="Trebuchet MS" w:hAnsi="Trebuchet MS"/>
          <w:sz w:val="16"/>
          <w:szCs w:val="16"/>
        </w:rPr>
        <w:t xml:space="preserve">, </w:t>
      </w:r>
      <w:r w:rsidR="00381111" w:rsidRPr="00381111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 w:rsidR="00381111">
        <w:rPr>
          <w:rFonts w:ascii="Trebuchet MS" w:hAnsi="Trebuchet MS"/>
          <w:sz w:val="16"/>
          <w:szCs w:val="16"/>
        </w:rPr>
        <w:t xml:space="preserve">, </w:t>
      </w:r>
      <w:r w:rsidR="00381111" w:rsidRPr="00210F07">
        <w:rPr>
          <w:rFonts w:ascii="Trebuchet MS" w:hAnsi="Trebuchet MS"/>
          <w:sz w:val="16"/>
          <w:szCs w:val="16"/>
        </w:rPr>
        <w:t>con un porcentaje de cumplimiento del</w:t>
      </w:r>
      <w:r w:rsidR="00381111">
        <w:rPr>
          <w:rFonts w:ascii="Trebuchet MS" w:hAnsi="Trebuchet MS"/>
          <w:sz w:val="16"/>
          <w:szCs w:val="16"/>
        </w:rPr>
        <w:t xml:space="preserve"> 50.1, 69.99 y 50 </w:t>
      </w:r>
      <w:r w:rsidR="00381111" w:rsidRPr="00210F07">
        <w:rPr>
          <w:rFonts w:ascii="Trebuchet MS" w:hAnsi="Trebuchet MS"/>
          <w:sz w:val="16"/>
          <w:szCs w:val="16"/>
        </w:rPr>
        <w:t>respectivamente, alcanzando así  un</w:t>
      </w:r>
      <w:r w:rsidR="00381111">
        <w:rPr>
          <w:rFonts w:ascii="Trebuchet MS" w:hAnsi="Trebuchet MS"/>
          <w:sz w:val="16"/>
          <w:szCs w:val="16"/>
        </w:rPr>
        <w:t xml:space="preserve"> 46.3% </w:t>
      </w:r>
      <w:r w:rsidR="00381111" w:rsidRPr="00210F07">
        <w:rPr>
          <w:rFonts w:ascii="Trebuchet MS" w:hAnsi="Trebuchet MS"/>
          <w:sz w:val="16"/>
          <w:szCs w:val="16"/>
        </w:rPr>
        <w:t>en su Plan de Acción.</w:t>
      </w:r>
    </w:p>
    <w:p w:rsidR="00381111" w:rsidRDefault="00381111" w:rsidP="004E3382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sz w:val="16"/>
          <w:szCs w:val="16"/>
        </w:rPr>
        <w:t xml:space="preserve"> se destaca la </w:t>
      </w:r>
      <w:r w:rsidRPr="00381111">
        <w:rPr>
          <w:rFonts w:ascii="Trebuchet MS" w:hAnsi="Trebuchet MS"/>
          <w:sz w:val="16"/>
          <w:szCs w:val="16"/>
        </w:rPr>
        <w:t>certificar el estado sanitario y fitosanitario de las exportaciones agropecuarias para contribuir con el mantenimiento de la admisibilidad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66.3% respectivamente, alcanzando así un 52% en su plan de acción.</w:t>
      </w:r>
    </w:p>
    <w:p w:rsidR="00381111" w:rsidRPr="00210F07" w:rsidRDefault="00381111" w:rsidP="0038111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381111" w:rsidRDefault="00381111" w:rsidP="00381111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5C8DA469" wp14:editId="781B3AB2">
            <wp:extent cx="5613621" cy="2099145"/>
            <wp:effectExtent l="0" t="0" r="25400" b="1587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F4F75" w:rsidRDefault="00EF4F75" w:rsidP="00EF4F75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D062D3" w:rsidRPr="00210F07" w:rsidRDefault="00EF4F75" w:rsidP="00EF4F75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5B8AC4B8" wp14:editId="3D49041E">
            <wp:extent cx="5613621" cy="2417197"/>
            <wp:effectExtent l="0" t="0" r="25400" b="2159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B299C" w:rsidRDefault="002B299C" w:rsidP="002B299C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HUILA</w:t>
      </w:r>
    </w:p>
    <w:p w:rsidR="002B299C" w:rsidRDefault="002B299C" w:rsidP="002B299C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Huila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43.6%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2B299C">
        <w:rPr>
          <w:rFonts w:ascii="Trebuchet MS" w:hAnsi="Trebuchet MS"/>
          <w:sz w:val="18"/>
          <w:szCs w:val="18"/>
        </w:rPr>
        <w:t xml:space="preserve">zonas libres y baja prevalencia enfermedades animales - fiebre aftosa, zonas libres y de baja prevalencia enfermedades animales - erradicación de brucelosis, zonas libres y de baja prevalencia enfermedades animales   - </w:t>
      </w:r>
      <w:r>
        <w:rPr>
          <w:rFonts w:ascii="Trebuchet MS" w:hAnsi="Trebuchet MS"/>
          <w:sz w:val="18"/>
          <w:szCs w:val="18"/>
        </w:rPr>
        <w:t>PPC</w:t>
      </w:r>
      <w:r w:rsidRPr="002B299C">
        <w:rPr>
          <w:rFonts w:ascii="Trebuchet MS" w:hAnsi="Trebuchet MS"/>
          <w:sz w:val="18"/>
          <w:szCs w:val="18"/>
        </w:rPr>
        <w:t>, sistema nacional de identificación e información de animales, sistema de información y vigilancia epidemiológica, combatir insumos agropecuario ilegales y formalización productores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75, 60, 89, 70, 62 y 62%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55%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2B299C" w:rsidRDefault="002B299C" w:rsidP="002B299C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D17F43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="008B455B" w:rsidRPr="002B299C">
        <w:rPr>
          <w:rFonts w:ascii="Trebuchet MS" w:hAnsi="Trebuchet MS"/>
          <w:sz w:val="16"/>
          <w:szCs w:val="16"/>
        </w:rPr>
        <w:t>control técnico a las semillas, bioseguridad y derechos de obtentor</w:t>
      </w:r>
      <w:r w:rsidR="008B455B">
        <w:rPr>
          <w:rFonts w:ascii="Trebuchet MS" w:hAnsi="Trebuchet MS"/>
          <w:sz w:val="16"/>
          <w:szCs w:val="16"/>
        </w:rPr>
        <w:t xml:space="preserve">, </w:t>
      </w:r>
      <w:r w:rsidR="008B455B" w:rsidRPr="008B455B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 w:rsidR="008B455B">
        <w:rPr>
          <w:rFonts w:ascii="Trebuchet MS" w:hAnsi="Trebuchet MS"/>
          <w:sz w:val="16"/>
          <w:szCs w:val="16"/>
        </w:rPr>
        <w:t xml:space="preserve"> y </w:t>
      </w:r>
      <w:r w:rsidR="008B455B" w:rsidRPr="008B455B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 w:rsidR="008B455B">
        <w:rPr>
          <w:rFonts w:ascii="Trebuchet MS" w:hAnsi="Trebuchet MS"/>
          <w:sz w:val="16"/>
          <w:szCs w:val="16"/>
        </w:rPr>
        <w:t xml:space="preserve"> </w:t>
      </w:r>
      <w:r w:rsidR="008B455B" w:rsidRPr="00210F07">
        <w:rPr>
          <w:rFonts w:ascii="Trebuchet MS" w:hAnsi="Trebuchet MS"/>
          <w:sz w:val="16"/>
          <w:szCs w:val="16"/>
        </w:rPr>
        <w:t>con un porcentaje de cumplimiento del</w:t>
      </w:r>
      <w:r w:rsidR="008B455B">
        <w:rPr>
          <w:rFonts w:ascii="Trebuchet MS" w:hAnsi="Trebuchet MS"/>
          <w:sz w:val="16"/>
          <w:szCs w:val="16"/>
        </w:rPr>
        <w:t xml:space="preserve"> 51.5, 54.8 y 59.6% </w:t>
      </w:r>
      <w:r w:rsidR="008B455B" w:rsidRPr="00210F07">
        <w:rPr>
          <w:rFonts w:ascii="Trebuchet MS" w:hAnsi="Trebuchet MS"/>
          <w:sz w:val="16"/>
          <w:szCs w:val="16"/>
        </w:rPr>
        <w:t>respectivamente, alcanzando así  un</w:t>
      </w:r>
      <w:r w:rsidR="008B455B">
        <w:rPr>
          <w:rFonts w:ascii="Trebuchet MS" w:hAnsi="Trebuchet MS"/>
          <w:sz w:val="16"/>
          <w:szCs w:val="16"/>
        </w:rPr>
        <w:t xml:space="preserve"> 45% </w:t>
      </w:r>
      <w:r w:rsidR="008B455B" w:rsidRPr="00210F07">
        <w:rPr>
          <w:rFonts w:ascii="Trebuchet MS" w:hAnsi="Trebuchet MS"/>
          <w:sz w:val="16"/>
          <w:szCs w:val="16"/>
        </w:rPr>
        <w:t>en su Plan de Acción.</w:t>
      </w:r>
    </w:p>
    <w:p w:rsidR="008B455B" w:rsidRPr="00210F07" w:rsidRDefault="008B455B" w:rsidP="008B455B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3E537F" w:rsidRDefault="008B455B" w:rsidP="008B455B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52A413DD" wp14:editId="1EC27ED0">
            <wp:extent cx="5613621" cy="2234316"/>
            <wp:effectExtent l="0" t="0" r="25400" b="1397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84832" w:rsidRDefault="00384832" w:rsidP="00384832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384832" w:rsidRDefault="00384832" w:rsidP="008B455B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4E53D4C9" wp14:editId="295B1435">
            <wp:extent cx="5613621" cy="2385391"/>
            <wp:effectExtent l="0" t="0" r="25400" b="1524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E03A8" w:rsidRDefault="003E03A8" w:rsidP="008B455B">
      <w:pPr>
        <w:jc w:val="center"/>
        <w:rPr>
          <w:rFonts w:ascii="Trebuchet MS" w:hAnsi="Trebuchet MS"/>
        </w:rPr>
      </w:pPr>
    </w:p>
    <w:p w:rsidR="00BF406E" w:rsidRDefault="00BF406E" w:rsidP="00BF406E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CHOCO</w:t>
      </w:r>
    </w:p>
    <w:p w:rsidR="003E03A8" w:rsidRDefault="00BF406E" w:rsidP="00BF406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Choco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43.</w:t>
      </w:r>
      <w:r w:rsidR="00BA65CA" w:rsidRPr="00D323EA">
        <w:rPr>
          <w:rFonts w:ascii="Trebuchet MS" w:hAnsi="Trebuchet MS"/>
          <w:b/>
          <w:sz w:val="16"/>
          <w:szCs w:val="16"/>
        </w:rPr>
        <w:t>2</w:t>
      </w:r>
      <w:r w:rsidRPr="00D323EA">
        <w:rPr>
          <w:rFonts w:ascii="Trebuchet MS" w:hAnsi="Trebuchet MS"/>
          <w:b/>
          <w:sz w:val="16"/>
          <w:szCs w:val="16"/>
        </w:rPr>
        <w:t>%</w:t>
      </w:r>
      <w:r w:rsidR="00BA65CA">
        <w:rPr>
          <w:rFonts w:ascii="Trebuchet MS" w:hAnsi="Trebuchet MS"/>
          <w:sz w:val="16"/>
          <w:szCs w:val="16"/>
        </w:rPr>
        <w:t xml:space="preserve"> </w:t>
      </w:r>
      <w:r w:rsidR="00BA65CA"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 w:rsidR="00BA65CA">
        <w:rPr>
          <w:rFonts w:ascii="Trebuchet MS" w:hAnsi="Trebuchet MS"/>
          <w:sz w:val="16"/>
          <w:szCs w:val="16"/>
        </w:rPr>
        <w:t xml:space="preserve">Seccional. En lo correspondiente al área </w:t>
      </w:r>
      <w:r w:rsidR="00BA65CA"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="00BA65CA"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 w:rsidR="00BA65CA">
        <w:rPr>
          <w:rFonts w:ascii="Trebuchet MS" w:hAnsi="Trebuchet MS"/>
          <w:sz w:val="16"/>
          <w:szCs w:val="16"/>
        </w:rPr>
        <w:t xml:space="preserve"> se destacan</w:t>
      </w:r>
      <w:r w:rsidR="00BA65CA" w:rsidRPr="00210F07">
        <w:rPr>
          <w:rFonts w:ascii="Trebuchet MS" w:hAnsi="Trebuchet MS"/>
          <w:sz w:val="16"/>
          <w:szCs w:val="16"/>
        </w:rPr>
        <w:t xml:space="preserve"> las Acciones Estratégicas</w:t>
      </w:r>
      <w:r w:rsidR="00BA65CA">
        <w:rPr>
          <w:rFonts w:ascii="Trebuchet MS" w:hAnsi="Trebuchet MS"/>
          <w:sz w:val="16"/>
          <w:szCs w:val="16"/>
        </w:rPr>
        <w:t xml:space="preserve"> de </w:t>
      </w:r>
      <w:r w:rsidR="00BA65CA" w:rsidRPr="00BA65CA">
        <w:rPr>
          <w:rFonts w:ascii="Trebuchet MS" w:hAnsi="Trebuchet MS"/>
          <w:sz w:val="18"/>
          <w:szCs w:val="18"/>
        </w:rPr>
        <w:t>zonas libres y baja prevalencia enfermedades animales - fiebre aftosa, zonas libres y de baja prevalencia enfermedades animales - erradicación de brucelosis, sistema de información y vigilancia epidemiológica animal, sistema de supervisión y certificación de  inocuidad pecuaria, combatir insumos agropecuario ilegales y formalización productores</w:t>
      </w:r>
      <w:r w:rsidR="001E78B2">
        <w:rPr>
          <w:rFonts w:ascii="Trebuchet MS" w:hAnsi="Trebuchet MS"/>
          <w:sz w:val="18"/>
          <w:szCs w:val="18"/>
        </w:rPr>
        <w:t>,</w:t>
      </w:r>
      <w:r w:rsidR="00BA65CA">
        <w:rPr>
          <w:rFonts w:ascii="Trebuchet MS" w:hAnsi="Trebuchet MS"/>
          <w:sz w:val="18"/>
          <w:szCs w:val="18"/>
        </w:rPr>
        <w:t xml:space="preserve"> </w:t>
      </w:r>
      <w:r w:rsidR="00BA65CA" w:rsidRPr="00210F07">
        <w:rPr>
          <w:rFonts w:ascii="Trebuchet MS" w:hAnsi="Trebuchet MS"/>
          <w:sz w:val="16"/>
          <w:szCs w:val="16"/>
        </w:rPr>
        <w:t>con un porcentaje de cumplimiento del</w:t>
      </w:r>
      <w:r w:rsidR="00BA65CA">
        <w:rPr>
          <w:rFonts w:ascii="Trebuchet MS" w:hAnsi="Trebuchet MS"/>
          <w:sz w:val="16"/>
          <w:szCs w:val="16"/>
        </w:rPr>
        <w:t xml:space="preserve"> 61, 84, 61, 59 y 100% </w:t>
      </w:r>
      <w:r w:rsidR="00BA65CA" w:rsidRPr="00210F07">
        <w:rPr>
          <w:rFonts w:ascii="Trebuchet MS" w:hAnsi="Trebuchet MS"/>
          <w:sz w:val="16"/>
          <w:szCs w:val="16"/>
        </w:rPr>
        <w:t>respectivamente, alcanzando así  un</w:t>
      </w:r>
      <w:r w:rsidR="00BA65CA">
        <w:rPr>
          <w:rFonts w:ascii="Trebuchet MS" w:hAnsi="Trebuchet MS"/>
          <w:sz w:val="16"/>
          <w:szCs w:val="16"/>
        </w:rPr>
        <w:t xml:space="preserve"> 49% </w:t>
      </w:r>
      <w:r w:rsidR="00BA65CA" w:rsidRPr="00210F07">
        <w:rPr>
          <w:rFonts w:ascii="Trebuchet MS" w:hAnsi="Trebuchet MS"/>
          <w:sz w:val="16"/>
          <w:szCs w:val="16"/>
        </w:rPr>
        <w:t>en su Plan de Acción.</w:t>
      </w:r>
    </w:p>
    <w:p w:rsidR="00BA65CA" w:rsidRDefault="00BA65CA" w:rsidP="00BF406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BA65CA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 y </w:t>
      </w:r>
      <w:r w:rsidRPr="00BA65CA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70 y 60%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37.4%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BA65CA" w:rsidRPr="00210F07" w:rsidRDefault="00BA65CA" w:rsidP="00BA65C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BA65CA" w:rsidRDefault="00BA65CA" w:rsidP="00BA65CA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6D3CC68B" wp14:editId="0B1FFC50">
            <wp:extent cx="5613621" cy="2433099"/>
            <wp:effectExtent l="0" t="0" r="25400" b="2476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E78B2" w:rsidRDefault="001E78B2" w:rsidP="001E78B2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1E78B2" w:rsidRDefault="001E78B2" w:rsidP="00BA65CA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3D31F181" wp14:editId="764E5FE1">
            <wp:extent cx="5589767" cy="2456953"/>
            <wp:effectExtent l="0" t="0" r="11430" b="1968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14418" w:rsidRDefault="00D14418" w:rsidP="00BA65CA">
      <w:pPr>
        <w:jc w:val="center"/>
        <w:rPr>
          <w:rFonts w:ascii="Trebuchet MS" w:hAnsi="Trebuchet MS"/>
        </w:rPr>
      </w:pPr>
    </w:p>
    <w:p w:rsidR="00D14418" w:rsidRDefault="00D14418" w:rsidP="00D1441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NARIÑO</w:t>
      </w:r>
    </w:p>
    <w:p w:rsidR="007A0E59" w:rsidRDefault="00D14418" w:rsidP="007A0E5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Nariño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Pr="00D323EA">
        <w:rPr>
          <w:rFonts w:ascii="Trebuchet MS" w:hAnsi="Trebuchet MS"/>
          <w:b/>
          <w:sz w:val="16"/>
          <w:szCs w:val="16"/>
        </w:rPr>
        <w:t>48.1%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D14418">
        <w:rPr>
          <w:rFonts w:ascii="Trebuchet MS" w:hAnsi="Trebuchet MS"/>
          <w:sz w:val="18"/>
          <w:szCs w:val="18"/>
        </w:rPr>
        <w:t>zonas libres y baja prevalencia enfermedades animales - fiebre aftosa, zonas libres y de baja prevalencia enfermedades animales - erradicación de brucelosis, zonas libres y de baja prevalencia enfermedades animales - erradicación de tuberculosis, sistema de información y vigilancia epidemiológica animal</w:t>
      </w:r>
      <w:r w:rsidR="007A0E59">
        <w:rPr>
          <w:rFonts w:ascii="Trebuchet MS" w:hAnsi="Trebuchet MS"/>
          <w:sz w:val="18"/>
          <w:szCs w:val="18"/>
        </w:rPr>
        <w:t>,</w:t>
      </w:r>
      <w:r>
        <w:rPr>
          <w:rFonts w:ascii="Trebuchet MS" w:hAnsi="Trebuchet MS"/>
          <w:sz w:val="18"/>
          <w:szCs w:val="18"/>
        </w:rPr>
        <w:t xml:space="preserve"> </w:t>
      </w:r>
      <w:r w:rsidR="007A0E59" w:rsidRPr="00210F07">
        <w:rPr>
          <w:rFonts w:ascii="Trebuchet MS" w:hAnsi="Trebuchet MS"/>
          <w:sz w:val="16"/>
          <w:szCs w:val="16"/>
        </w:rPr>
        <w:t>con un porcentaje de cumplimiento del</w:t>
      </w:r>
      <w:r w:rsidR="007A0E59">
        <w:rPr>
          <w:rFonts w:ascii="Trebuchet MS" w:hAnsi="Trebuchet MS"/>
          <w:sz w:val="16"/>
          <w:szCs w:val="16"/>
        </w:rPr>
        <w:t xml:space="preserve"> 52, 78, 100 y 66% </w:t>
      </w:r>
      <w:r w:rsidR="007A0E59" w:rsidRPr="00210F07">
        <w:rPr>
          <w:rFonts w:ascii="Trebuchet MS" w:hAnsi="Trebuchet MS"/>
          <w:sz w:val="16"/>
          <w:szCs w:val="16"/>
        </w:rPr>
        <w:t>respectivamente, alcanzando así  un</w:t>
      </w:r>
      <w:r w:rsidR="007A0E59">
        <w:rPr>
          <w:rFonts w:ascii="Trebuchet MS" w:hAnsi="Trebuchet MS"/>
          <w:sz w:val="16"/>
          <w:szCs w:val="16"/>
        </w:rPr>
        <w:t xml:space="preserve"> 52% </w:t>
      </w:r>
      <w:r w:rsidR="007A0E59" w:rsidRPr="00210F07">
        <w:rPr>
          <w:rFonts w:ascii="Trebuchet MS" w:hAnsi="Trebuchet MS"/>
          <w:sz w:val="16"/>
          <w:szCs w:val="16"/>
        </w:rPr>
        <w:t>en su Plan de Acción.</w:t>
      </w:r>
    </w:p>
    <w:p w:rsidR="007A0E59" w:rsidRDefault="007A0E59" w:rsidP="007A0E5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7A0E59">
        <w:rPr>
          <w:rFonts w:ascii="Trebuchet MS" w:hAnsi="Trebuchet MS"/>
          <w:sz w:val="16"/>
          <w:szCs w:val="16"/>
        </w:rPr>
        <w:t>control técnico a las semillas, bioseguridad y derechos de obtentor</w:t>
      </w:r>
      <w:r>
        <w:rPr>
          <w:rFonts w:ascii="Trebuchet MS" w:hAnsi="Trebuchet MS"/>
          <w:sz w:val="16"/>
          <w:szCs w:val="16"/>
        </w:rPr>
        <w:t xml:space="preserve">, </w:t>
      </w:r>
      <w:r w:rsidRPr="007A0E59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7A0E59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país, </w:t>
      </w:r>
      <w:r w:rsidRPr="007A0E59">
        <w:rPr>
          <w:rFonts w:ascii="Trebuchet MS" w:hAnsi="Trebuchet MS"/>
          <w:sz w:val="16"/>
          <w:szCs w:val="16"/>
        </w:rPr>
        <w:t>vigilancia y manejo de pc en cultivos de palma de aceite</w:t>
      </w:r>
      <w:r>
        <w:rPr>
          <w:rFonts w:ascii="Trebuchet MS" w:hAnsi="Trebuchet MS"/>
          <w:sz w:val="16"/>
          <w:szCs w:val="16"/>
        </w:rPr>
        <w:t xml:space="preserve"> y </w:t>
      </w:r>
      <w:r w:rsidRPr="007A0E59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52, 100, 59.9, 100 y 59.3%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55%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7A0E59" w:rsidRPr="00210F07" w:rsidRDefault="007A0E59" w:rsidP="007A0E5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D14418" w:rsidRDefault="007A0E59" w:rsidP="007A0E59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5CA059D0" wp14:editId="4957BEF7">
            <wp:extent cx="5613621" cy="2321781"/>
            <wp:effectExtent l="0" t="0" r="25400" b="2159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2187A" w:rsidRDefault="0042187A" w:rsidP="0042187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D14418" w:rsidRDefault="0042187A" w:rsidP="00BA65CA">
      <w:pPr>
        <w:jc w:val="center"/>
        <w:rPr>
          <w:rFonts w:ascii="Trebuchet MS" w:hAnsi="Trebuchet MS"/>
        </w:rPr>
      </w:pPr>
      <w:r>
        <w:rPr>
          <w:noProof/>
          <w:lang w:eastAsia="es-CO"/>
        </w:rPr>
        <w:drawing>
          <wp:inline distT="0" distB="0" distL="0" distR="0" wp14:anchorId="0E78F75D" wp14:editId="5FC05A2D">
            <wp:extent cx="5486400" cy="2345635"/>
            <wp:effectExtent l="0" t="0" r="19050" b="1714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6176C" w:rsidRDefault="00F6176C" w:rsidP="00F6176C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META</w:t>
      </w:r>
    </w:p>
    <w:p w:rsidR="00F6176C" w:rsidRDefault="00F6176C" w:rsidP="00F6176C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Meta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54</w:t>
      </w:r>
      <w:r w:rsidRPr="003E537F">
        <w:rPr>
          <w:rFonts w:ascii="Trebuchet MS" w:hAnsi="Trebuchet MS"/>
          <w:sz w:val="16"/>
          <w:szCs w:val="16"/>
        </w:rPr>
        <w:t>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F6176C">
        <w:rPr>
          <w:rFonts w:ascii="Trebuchet MS" w:hAnsi="Trebuchet MS"/>
          <w:sz w:val="18"/>
          <w:szCs w:val="18"/>
        </w:rPr>
        <w:t xml:space="preserve">zonas libres y de baja prevalencia enfermedades animales - erradicación de tuberculosis, zonas libres y de baja prevalencia enfermedades animales   - </w:t>
      </w:r>
      <w:r>
        <w:rPr>
          <w:rFonts w:ascii="Trebuchet MS" w:hAnsi="Trebuchet MS"/>
          <w:sz w:val="18"/>
          <w:szCs w:val="18"/>
        </w:rPr>
        <w:t>PPC,</w:t>
      </w:r>
      <w:r w:rsidRPr="00F6176C">
        <w:rPr>
          <w:rFonts w:ascii="Trebuchet MS" w:hAnsi="Trebuchet MS"/>
          <w:sz w:val="18"/>
          <w:szCs w:val="18"/>
        </w:rPr>
        <w:t xml:space="preserve"> zonas libres y de baja prevalencia enfermedades animales - encefalopatía espongiforme bovina- </w:t>
      </w:r>
      <w:r>
        <w:rPr>
          <w:rFonts w:ascii="Trebuchet MS" w:hAnsi="Trebuchet MS"/>
          <w:sz w:val="18"/>
          <w:szCs w:val="18"/>
        </w:rPr>
        <w:t>EEB</w:t>
      </w:r>
      <w:r w:rsidRPr="00F6176C">
        <w:rPr>
          <w:rFonts w:ascii="Trebuchet MS" w:hAnsi="Trebuchet MS"/>
          <w:sz w:val="18"/>
          <w:szCs w:val="18"/>
        </w:rPr>
        <w:t>, control  y erradicación de enfermedades en animales y sistema de información y vigilancia epidemiológica animal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66, 67, 78, 69 y 76% </w:t>
      </w:r>
      <w:r>
        <w:rPr>
          <w:rFonts w:ascii="Trebuchet MS" w:hAnsi="Trebuchet MS"/>
          <w:sz w:val="18"/>
          <w:szCs w:val="18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</w:t>
      </w:r>
      <w:r w:rsidR="00031AEA">
        <w:rPr>
          <w:rFonts w:ascii="Trebuchet MS" w:hAnsi="Trebuchet MS"/>
          <w:sz w:val="16"/>
          <w:szCs w:val="16"/>
        </w:rPr>
        <w:t>61</w:t>
      </w:r>
      <w:r>
        <w:rPr>
          <w:rFonts w:ascii="Trebuchet MS" w:hAnsi="Trebuchet MS"/>
          <w:sz w:val="16"/>
          <w:szCs w:val="16"/>
        </w:rPr>
        <w:t xml:space="preserve">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031AEA" w:rsidRDefault="00031AEA" w:rsidP="00031AE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031AEA">
        <w:rPr>
          <w:rFonts w:ascii="Trebuchet MS" w:hAnsi="Trebuchet MS"/>
          <w:sz w:val="16"/>
          <w:szCs w:val="16"/>
        </w:rPr>
        <w:t>detección, control y erradicación - plan naci</w:t>
      </w:r>
      <w:r>
        <w:rPr>
          <w:rFonts w:ascii="Trebuchet MS" w:hAnsi="Trebuchet MS"/>
          <w:sz w:val="16"/>
          <w:szCs w:val="16"/>
        </w:rPr>
        <w:t xml:space="preserve">onal de mosca de la fruta –pnmf, </w:t>
      </w:r>
      <w:r w:rsidRPr="00031AEA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031AEA">
        <w:rPr>
          <w:rFonts w:ascii="Trebuchet MS" w:hAnsi="Trebuchet MS"/>
          <w:sz w:val="16"/>
          <w:szCs w:val="16"/>
        </w:rPr>
        <w:t>vigilancia y manejo de pc en cultivos de palma de aceite</w:t>
      </w:r>
      <w:r>
        <w:rPr>
          <w:rFonts w:ascii="Trebuchet MS" w:hAnsi="Trebuchet MS"/>
          <w:sz w:val="16"/>
          <w:szCs w:val="16"/>
        </w:rPr>
        <w:t xml:space="preserve"> y </w:t>
      </w:r>
      <w:r w:rsidRPr="00031AEA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59.5, 76.5, 51.1 y 50%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46.3%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031AEA" w:rsidRDefault="00031AEA" w:rsidP="00031AEA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031AEA">
        <w:rPr>
          <w:rFonts w:ascii="Trebuchet MS" w:hAnsi="Trebuchet MS"/>
          <w:sz w:val="16"/>
          <w:szCs w:val="16"/>
        </w:rPr>
        <w:t>consolidación del servicio en la red oficial de diagnóstico fitosanitario</w:t>
      </w:r>
      <w:r>
        <w:rPr>
          <w:rFonts w:ascii="Trebuchet MS" w:hAnsi="Trebuchet MS"/>
          <w:sz w:val="16"/>
          <w:szCs w:val="16"/>
        </w:rPr>
        <w:t xml:space="preserve"> y </w:t>
      </w:r>
      <w:r w:rsidRPr="00031AEA">
        <w:rPr>
          <w:rFonts w:ascii="Trebuchet MS" w:hAnsi="Trebuchet MS"/>
          <w:sz w:val="16"/>
          <w:szCs w:val="16"/>
        </w:rPr>
        <w:t>fortalecimiento de la red oficial de semillas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62 y 64%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55%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031AEA" w:rsidRPr="00210F07" w:rsidRDefault="00031AEA" w:rsidP="00031AE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031AEA" w:rsidRDefault="00031AEA" w:rsidP="00031AEA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33EB9891" wp14:editId="7048B73C">
            <wp:extent cx="5613621" cy="1820848"/>
            <wp:effectExtent l="0" t="0" r="25400" b="2730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87F82" w:rsidRDefault="00031AEA" w:rsidP="00587F82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  <w:r w:rsidR="00587F82"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 w:rsidR="00587F82">
        <w:rPr>
          <w:rFonts w:ascii="Trebuchet MS" w:hAnsi="Trebuchet MS"/>
          <w:sz w:val="16"/>
          <w:szCs w:val="16"/>
        </w:rPr>
        <w:t>Se</w:t>
      </w:r>
      <w:r w:rsidR="00587F82" w:rsidRPr="00210F07">
        <w:rPr>
          <w:rFonts w:ascii="Trebuchet MS" w:hAnsi="Trebuchet MS"/>
          <w:sz w:val="16"/>
          <w:szCs w:val="16"/>
        </w:rPr>
        <w:t>mestre en cuanto a las metas d</w:t>
      </w:r>
      <w:r w:rsidR="00587F82">
        <w:rPr>
          <w:rFonts w:ascii="Trebuchet MS" w:hAnsi="Trebuchet MS"/>
          <w:sz w:val="16"/>
          <w:szCs w:val="16"/>
        </w:rPr>
        <w:t>el Plan de acción y lo comprometido</w:t>
      </w:r>
      <w:r w:rsidR="00587F82"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031AEA" w:rsidRDefault="00587F82" w:rsidP="00587F82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245D25CA" wp14:editId="48601F55">
            <wp:extent cx="5454595" cy="2218414"/>
            <wp:effectExtent l="0" t="0" r="13335" b="10795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31AEA" w:rsidRDefault="00031AEA" w:rsidP="00F6176C">
      <w:pPr>
        <w:jc w:val="both"/>
        <w:rPr>
          <w:rFonts w:ascii="Trebuchet MS" w:hAnsi="Trebuchet MS"/>
          <w:sz w:val="16"/>
          <w:szCs w:val="16"/>
        </w:rPr>
      </w:pPr>
    </w:p>
    <w:p w:rsidR="0017480B" w:rsidRDefault="0017480B" w:rsidP="0017480B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CAQUETA</w:t>
      </w:r>
    </w:p>
    <w:p w:rsidR="0017480B" w:rsidRDefault="00713FDA" w:rsidP="00713FDA">
      <w:pPr>
        <w:jc w:val="both"/>
        <w:rPr>
          <w:rFonts w:ascii="Trebuchet MS" w:hAnsi="Trebuchet MS"/>
          <w:b/>
          <w:sz w:val="28"/>
          <w:szCs w:val="28"/>
        </w:rPr>
      </w:pPr>
      <w:r w:rsidRPr="00210F07">
        <w:rPr>
          <w:rFonts w:ascii="Trebuchet MS" w:hAnsi="Trebuchet MS"/>
          <w:sz w:val="16"/>
          <w:szCs w:val="16"/>
        </w:rPr>
        <w:t>Teniendo en cuenta el avance del Primer Semestre del año</w:t>
      </w:r>
      <w:r>
        <w:rPr>
          <w:rFonts w:ascii="Trebuchet MS" w:hAnsi="Trebuchet MS"/>
          <w:sz w:val="16"/>
          <w:szCs w:val="16"/>
        </w:rPr>
        <w:t xml:space="preserve"> vigente, la seccional Caquetá</w:t>
      </w:r>
      <w:r w:rsidRPr="00210F07">
        <w:rPr>
          <w:rFonts w:ascii="Trebuchet MS" w:hAnsi="Trebuchet MS"/>
          <w:sz w:val="16"/>
          <w:szCs w:val="16"/>
        </w:rPr>
        <w:t xml:space="preserve"> ha tenido un cumplimiento </w:t>
      </w:r>
      <w:r w:rsidRPr="00C34E50">
        <w:rPr>
          <w:rFonts w:ascii="Trebuchet MS" w:hAnsi="Trebuchet MS"/>
          <w:sz w:val="16"/>
          <w:szCs w:val="16"/>
        </w:rPr>
        <w:t>del</w:t>
      </w:r>
      <w:r>
        <w:rPr>
          <w:rFonts w:ascii="Trebuchet MS" w:hAnsi="Trebuchet MS"/>
          <w:sz w:val="16"/>
          <w:szCs w:val="16"/>
        </w:rPr>
        <w:t xml:space="preserve"> </w:t>
      </w:r>
      <w:r w:rsidR="007B27C5">
        <w:rPr>
          <w:rFonts w:ascii="Trebuchet MS" w:hAnsi="Trebuchet MS"/>
          <w:sz w:val="16"/>
          <w:szCs w:val="16"/>
        </w:rPr>
        <w:t>62.9</w:t>
      </w:r>
      <w:r w:rsidRPr="00D323EA">
        <w:rPr>
          <w:rFonts w:ascii="Trebuchet MS" w:hAnsi="Trebuchet MS"/>
          <w:b/>
          <w:sz w:val="16"/>
          <w:szCs w:val="16"/>
        </w:rPr>
        <w:t>%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 xml:space="preserve">en cuanto a las acciones estratégicas asociadas al Plan de Acción </w:t>
      </w:r>
      <w:r>
        <w:rPr>
          <w:rFonts w:ascii="Trebuchet MS" w:hAnsi="Trebuchet MS"/>
          <w:sz w:val="16"/>
          <w:szCs w:val="16"/>
        </w:rPr>
        <w:t xml:space="preserve">Seccional. En lo correspondiente al área </w:t>
      </w:r>
      <w:r w:rsidRPr="00AE79E8">
        <w:rPr>
          <w:rFonts w:ascii="Trebuchet MS" w:hAnsi="Trebuchet MS"/>
          <w:b/>
          <w:sz w:val="16"/>
          <w:szCs w:val="16"/>
          <w:u w:val="single"/>
        </w:rPr>
        <w:t>P</w:t>
      </w:r>
      <w:r w:rsidRPr="00C67AB1">
        <w:rPr>
          <w:rFonts w:ascii="Trebuchet MS" w:hAnsi="Trebuchet MS"/>
          <w:b/>
          <w:sz w:val="16"/>
          <w:szCs w:val="16"/>
          <w:u w:val="single"/>
        </w:rPr>
        <w:t>ecuaria</w:t>
      </w:r>
      <w:r>
        <w:rPr>
          <w:rFonts w:ascii="Trebuchet MS" w:hAnsi="Trebuchet MS"/>
          <w:sz w:val="16"/>
          <w:szCs w:val="16"/>
        </w:rPr>
        <w:t xml:space="preserve">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713FDA">
        <w:rPr>
          <w:rFonts w:ascii="Trebuchet MS" w:hAnsi="Trebuchet MS"/>
          <w:sz w:val="18"/>
          <w:szCs w:val="18"/>
        </w:rPr>
        <w:t>zonas libres y baja prevalencia enfermedades animales - fiebre aftosa, zonas libres y de baja prevalencia enfermedades animales - erradicación de brucelosis y zonas libres y de baja prevalencia enfermedades animales - erradicación de tuberculosis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72, 59 y 52%, respectivamente, alcanzando así un 45% en su plan de acción.</w:t>
      </w:r>
    </w:p>
    <w:p w:rsidR="00713FDA" w:rsidRDefault="00713FDA" w:rsidP="00713FD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713FDA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, </w:t>
      </w:r>
      <w:r w:rsidRPr="00713FDA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</w:t>
      </w:r>
      <w:r w:rsidR="00426071">
        <w:rPr>
          <w:rFonts w:ascii="Trebuchet MS" w:hAnsi="Trebuchet MS"/>
          <w:sz w:val="16"/>
          <w:szCs w:val="16"/>
        </w:rPr>
        <w:t>país</w:t>
      </w:r>
      <w:r>
        <w:rPr>
          <w:rFonts w:ascii="Trebuchet MS" w:hAnsi="Trebuchet MS"/>
          <w:sz w:val="16"/>
          <w:szCs w:val="16"/>
        </w:rPr>
        <w:t xml:space="preserve"> y </w:t>
      </w:r>
      <w:r w:rsidRPr="00713FDA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64.3, 53.5 y 91%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52%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713FDA" w:rsidRDefault="00713FDA" w:rsidP="00713FDA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713FDA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</w:t>
      </w:r>
      <w:r w:rsidR="007B27C5">
        <w:rPr>
          <w:rFonts w:ascii="Trebuchet MS" w:hAnsi="Trebuchet MS"/>
          <w:sz w:val="16"/>
          <w:szCs w:val="16"/>
        </w:rPr>
        <w:t>91.3</w:t>
      </w:r>
      <w:r>
        <w:rPr>
          <w:rFonts w:ascii="Trebuchet MS" w:hAnsi="Trebuchet MS"/>
          <w:sz w:val="16"/>
          <w:szCs w:val="16"/>
        </w:rPr>
        <w:t xml:space="preserve">% </w:t>
      </w:r>
      <w:r w:rsidRPr="00210F07">
        <w:rPr>
          <w:rFonts w:ascii="Trebuchet MS" w:hAnsi="Trebuchet MS"/>
          <w:sz w:val="16"/>
          <w:szCs w:val="16"/>
        </w:rPr>
        <w:t>respectivamente, alcanzando así  un</w:t>
      </w:r>
      <w:r>
        <w:rPr>
          <w:rFonts w:ascii="Trebuchet MS" w:hAnsi="Trebuchet MS"/>
          <w:sz w:val="16"/>
          <w:szCs w:val="16"/>
        </w:rPr>
        <w:t xml:space="preserve"> 79%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713FDA" w:rsidRPr="00210F07" w:rsidRDefault="00713FDA" w:rsidP="00713FD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713FDA" w:rsidRDefault="007B27C5" w:rsidP="00713FDA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4BC859F0" wp14:editId="492964C1">
            <wp:extent cx="5613621" cy="2258170"/>
            <wp:effectExtent l="0" t="0" r="25400" b="2794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C6DBA" w:rsidRDefault="00DC6DBA" w:rsidP="00DC6DB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AC0663" w:rsidRDefault="00AC0663" w:rsidP="00AC0663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0BCE4A1D" wp14:editId="6308E43E">
            <wp:extent cx="5613621" cy="2226366"/>
            <wp:effectExtent l="0" t="0" r="25400" b="2159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16051" w:rsidRDefault="00616051" w:rsidP="0061605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TOLIMA</w:t>
      </w:r>
    </w:p>
    <w:p w:rsidR="005927C1" w:rsidRDefault="004B1347" w:rsidP="005927C1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Tolima ha tenido un cumplimiento del </w:t>
      </w:r>
      <w:r w:rsidR="005927C1" w:rsidRPr="005927C1">
        <w:rPr>
          <w:rFonts w:ascii="Trebuchet MS" w:hAnsi="Trebuchet MS"/>
          <w:sz w:val="16"/>
          <w:szCs w:val="16"/>
        </w:rPr>
        <w:t>48</w:t>
      </w:r>
      <w:r w:rsidRPr="005927C1">
        <w:rPr>
          <w:rFonts w:ascii="Trebuchet MS" w:hAnsi="Trebuchet MS"/>
          <w:sz w:val="16"/>
          <w:szCs w:val="16"/>
        </w:rPr>
        <w:t>.</w:t>
      </w:r>
      <w:r w:rsidR="005927C1" w:rsidRPr="005927C1">
        <w:rPr>
          <w:rFonts w:ascii="Trebuchet MS" w:hAnsi="Trebuchet MS"/>
          <w:sz w:val="16"/>
          <w:szCs w:val="16"/>
        </w:rPr>
        <w:t>4</w:t>
      </w:r>
      <w:r w:rsidRPr="005927C1">
        <w:rPr>
          <w:rFonts w:ascii="Trebuchet MS" w:hAnsi="Trebuchet MS"/>
          <w:sz w:val="16"/>
          <w:szCs w:val="16"/>
        </w:rPr>
        <w:t xml:space="preserve">% en cuanto a las acciones estratégicas asociadas al Plan de Acción Seccional. 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5927C1">
        <w:rPr>
          <w:rFonts w:ascii="Trebuchet MS" w:hAnsi="Trebuchet MS"/>
          <w:sz w:val="16"/>
          <w:szCs w:val="16"/>
        </w:rPr>
        <w:t xml:space="preserve"> </w:t>
      </w:r>
      <w:r w:rsidR="005927C1" w:rsidRPr="005927C1">
        <w:rPr>
          <w:rFonts w:ascii="Trebuchet MS" w:hAnsi="Trebuchet MS"/>
          <w:sz w:val="18"/>
          <w:szCs w:val="18"/>
        </w:rPr>
        <w:t xml:space="preserve">zonas libres y baja prevalencia enfermedades animales - fiebre aftosa, zonas libres y de baja prevalencia enfermedades animales - erradicación de brucelosis, zonas libres y de baja prevalencia enfermedades animales   - </w:t>
      </w:r>
      <w:r w:rsidR="005927C1">
        <w:rPr>
          <w:rFonts w:ascii="Trebuchet MS" w:hAnsi="Trebuchet MS"/>
          <w:sz w:val="18"/>
          <w:szCs w:val="18"/>
        </w:rPr>
        <w:t>PPC</w:t>
      </w:r>
      <w:r w:rsidR="005927C1" w:rsidRPr="005927C1">
        <w:rPr>
          <w:rFonts w:ascii="Trebuchet MS" w:hAnsi="Trebuchet MS"/>
          <w:sz w:val="18"/>
          <w:szCs w:val="18"/>
        </w:rPr>
        <w:t>, sistema de información y vigilancia epidemiológica animal y combatir insumos agropecuario ilegales y formalización productores</w:t>
      </w:r>
      <w:r w:rsidR="005927C1">
        <w:rPr>
          <w:rFonts w:ascii="Trebuchet MS" w:hAnsi="Trebuchet MS"/>
          <w:sz w:val="18"/>
          <w:szCs w:val="18"/>
        </w:rPr>
        <w:t xml:space="preserve">, </w:t>
      </w:r>
      <w:r w:rsidR="005927C1" w:rsidRPr="00210F07">
        <w:rPr>
          <w:rFonts w:ascii="Trebuchet MS" w:hAnsi="Trebuchet MS"/>
          <w:sz w:val="16"/>
          <w:szCs w:val="16"/>
        </w:rPr>
        <w:t>con un porcentaje de cumplimiento del</w:t>
      </w:r>
      <w:r w:rsidR="005927C1">
        <w:rPr>
          <w:rFonts w:ascii="Trebuchet MS" w:hAnsi="Trebuchet MS"/>
          <w:sz w:val="16"/>
          <w:szCs w:val="16"/>
        </w:rPr>
        <w:t xml:space="preserve"> 67, 100, 69, 80 y 63% respectivamente, </w:t>
      </w:r>
      <w:r w:rsidR="005927C1" w:rsidRPr="00210F07">
        <w:rPr>
          <w:rFonts w:ascii="Trebuchet MS" w:hAnsi="Trebuchet MS"/>
          <w:sz w:val="16"/>
          <w:szCs w:val="16"/>
        </w:rPr>
        <w:t>alcanzando así  un</w:t>
      </w:r>
      <w:r w:rsidR="005927C1">
        <w:rPr>
          <w:rFonts w:ascii="Trebuchet MS" w:hAnsi="Trebuchet MS"/>
          <w:sz w:val="16"/>
          <w:szCs w:val="16"/>
        </w:rPr>
        <w:t xml:space="preserve"> </w:t>
      </w:r>
      <w:r w:rsidR="00D0054E">
        <w:rPr>
          <w:rFonts w:ascii="Trebuchet MS" w:hAnsi="Trebuchet MS"/>
          <w:sz w:val="16"/>
          <w:szCs w:val="16"/>
        </w:rPr>
        <w:t>58</w:t>
      </w:r>
      <w:r w:rsidR="005927C1">
        <w:rPr>
          <w:rFonts w:ascii="Trebuchet MS" w:hAnsi="Trebuchet MS"/>
          <w:sz w:val="16"/>
          <w:szCs w:val="16"/>
        </w:rPr>
        <w:t xml:space="preserve">% </w:t>
      </w:r>
      <w:r w:rsidR="005927C1" w:rsidRPr="00210F07">
        <w:rPr>
          <w:rFonts w:ascii="Trebuchet MS" w:hAnsi="Trebuchet MS"/>
          <w:sz w:val="16"/>
          <w:szCs w:val="16"/>
        </w:rPr>
        <w:t>en su Plan de Acción.</w:t>
      </w:r>
    </w:p>
    <w:p w:rsidR="005927C1" w:rsidRDefault="005927C1" w:rsidP="005927C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5927C1">
        <w:rPr>
          <w:rFonts w:ascii="Trebuchet MS" w:hAnsi="Trebuchet MS"/>
          <w:sz w:val="16"/>
          <w:szCs w:val="16"/>
        </w:rPr>
        <w:t>control técnico a las semillas, bioseguridad y derechos de obtentor</w:t>
      </w:r>
      <w:r>
        <w:rPr>
          <w:rFonts w:ascii="Trebuchet MS" w:hAnsi="Trebuchet MS"/>
          <w:sz w:val="16"/>
          <w:szCs w:val="16"/>
        </w:rPr>
        <w:t xml:space="preserve">, </w:t>
      </w:r>
      <w:r w:rsidRPr="005927C1">
        <w:rPr>
          <w:rFonts w:ascii="Trebuchet MS" w:hAnsi="Trebuchet MS"/>
          <w:sz w:val="16"/>
          <w:szCs w:val="16"/>
        </w:rPr>
        <w:t>detección, control y erradicación - plan naci</w:t>
      </w:r>
      <w:r>
        <w:rPr>
          <w:rFonts w:ascii="Trebuchet MS" w:hAnsi="Trebuchet MS"/>
          <w:sz w:val="16"/>
          <w:szCs w:val="16"/>
        </w:rPr>
        <w:t xml:space="preserve">onal de mosca de la fruta –pnmf, </w:t>
      </w:r>
      <w:r w:rsidRPr="005927C1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 y </w:t>
      </w:r>
      <w:r w:rsidRPr="005927C1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63.9, 66.3 y 50.7%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4</w:t>
      </w:r>
      <w:r w:rsidR="00D0054E">
        <w:rPr>
          <w:rFonts w:ascii="Trebuchet MS" w:hAnsi="Trebuchet MS"/>
          <w:sz w:val="16"/>
          <w:szCs w:val="16"/>
        </w:rPr>
        <w:t>3.6</w:t>
      </w:r>
      <w:r>
        <w:rPr>
          <w:rFonts w:ascii="Trebuchet MS" w:hAnsi="Trebuchet MS"/>
          <w:sz w:val="16"/>
          <w:szCs w:val="16"/>
        </w:rPr>
        <w:t xml:space="preserve">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5927C1" w:rsidRDefault="005927C1" w:rsidP="005927C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5927C1">
        <w:rPr>
          <w:rFonts w:ascii="Trebuchet MS" w:hAnsi="Trebuchet MS"/>
          <w:sz w:val="16"/>
          <w:szCs w:val="16"/>
        </w:rPr>
        <w:t>fortalecimiento de la red oficial de semillas</w:t>
      </w:r>
      <w:r>
        <w:rPr>
          <w:rFonts w:ascii="Trebuchet MS" w:hAnsi="Trebuchet MS"/>
          <w:sz w:val="16"/>
          <w:szCs w:val="16"/>
        </w:rPr>
        <w:t xml:space="preserve"> y </w:t>
      </w:r>
      <w:r w:rsidRPr="005927C1">
        <w:rPr>
          <w:rFonts w:ascii="Trebuchet MS" w:hAnsi="Trebuchet MS"/>
          <w:sz w:val="16"/>
          <w:szCs w:val="16"/>
        </w:rPr>
        <w:t>consolidación del servicio en la red oficial de diagnóstico fitosanitario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58 y 45%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44%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5927C1" w:rsidRDefault="005927C1" w:rsidP="005927C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D0054E" w:rsidRPr="00210F07" w:rsidRDefault="00D0054E" w:rsidP="00D0054E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4647BE48" wp14:editId="7D871969">
            <wp:extent cx="5613621" cy="1995777"/>
            <wp:effectExtent l="0" t="0" r="25400" b="2413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0054E" w:rsidRDefault="00D0054E" w:rsidP="00D0054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5927C1" w:rsidRDefault="00D0054E" w:rsidP="00D0054E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12362522" wp14:editId="75C1A0E0">
            <wp:extent cx="5494351" cy="2274073"/>
            <wp:effectExtent l="0" t="0" r="11430" b="1206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C125E" w:rsidRDefault="00CC125E" w:rsidP="00CC125E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SAN ANDRES</w:t>
      </w:r>
    </w:p>
    <w:p w:rsidR="00CC125E" w:rsidRDefault="00FC11CC" w:rsidP="00FC11CC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San Andres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29.7</w:t>
      </w:r>
      <w:r w:rsidRPr="00FC11CC">
        <w:rPr>
          <w:rFonts w:ascii="Trebuchet MS" w:hAnsi="Trebuchet MS"/>
          <w:sz w:val="16"/>
          <w:szCs w:val="16"/>
        </w:rPr>
        <w:t>%</w:t>
      </w:r>
      <w:r w:rsidRPr="005927C1">
        <w:rPr>
          <w:rFonts w:ascii="Trebuchet MS" w:hAnsi="Trebuchet MS"/>
          <w:sz w:val="16"/>
          <w:szCs w:val="16"/>
        </w:rPr>
        <w:t xml:space="preserve"> en cuanto a las acciones estratégicas asociadas al Plan de Acción Seccional. 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Pr="00FC11CC">
        <w:rPr>
          <w:rFonts w:ascii="Trebuchet MS" w:hAnsi="Trebuchet MS"/>
          <w:sz w:val="18"/>
          <w:szCs w:val="18"/>
        </w:rPr>
        <w:t xml:space="preserve">sistema de información y vigilancia epidemiológica animal y combatir </w:t>
      </w:r>
      <w:r w:rsidR="00E95163" w:rsidRPr="00FC11CC">
        <w:rPr>
          <w:rFonts w:ascii="Trebuchet MS" w:hAnsi="Trebuchet MS"/>
          <w:sz w:val="18"/>
          <w:szCs w:val="18"/>
        </w:rPr>
        <w:t>insumos agropecuarios ilegales</w:t>
      </w:r>
      <w:r w:rsidRPr="00FC11CC">
        <w:rPr>
          <w:rFonts w:ascii="Trebuchet MS" w:hAnsi="Trebuchet MS"/>
          <w:sz w:val="18"/>
          <w:szCs w:val="18"/>
        </w:rPr>
        <w:t xml:space="preserve"> y formalización productores</w:t>
      </w:r>
      <w:r>
        <w:rPr>
          <w:rFonts w:ascii="Trebuchet MS" w:hAnsi="Trebuchet MS"/>
          <w:sz w:val="18"/>
          <w:szCs w:val="18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 y 68%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</w:t>
      </w:r>
      <w:r w:rsidR="00874FE3">
        <w:rPr>
          <w:rFonts w:ascii="Trebuchet MS" w:hAnsi="Trebuchet MS"/>
          <w:sz w:val="16"/>
          <w:szCs w:val="16"/>
        </w:rPr>
        <w:t>0</w:t>
      </w:r>
      <w:r>
        <w:rPr>
          <w:rFonts w:ascii="Trebuchet MS" w:hAnsi="Trebuchet MS"/>
          <w:sz w:val="16"/>
          <w:szCs w:val="16"/>
        </w:rPr>
        <w:t xml:space="preserve">% </w:t>
      </w:r>
      <w:r w:rsidRPr="00210F07">
        <w:rPr>
          <w:rFonts w:ascii="Trebuchet MS" w:hAnsi="Trebuchet MS"/>
          <w:sz w:val="16"/>
          <w:szCs w:val="16"/>
        </w:rPr>
        <w:t>en su Plan de Acción</w:t>
      </w:r>
      <w:r w:rsidR="00874FE3">
        <w:rPr>
          <w:rFonts w:ascii="Trebuchet MS" w:hAnsi="Trebuchet MS"/>
          <w:sz w:val="16"/>
          <w:szCs w:val="16"/>
        </w:rPr>
        <w:t>.</w:t>
      </w:r>
    </w:p>
    <w:p w:rsidR="00FC11CC" w:rsidRDefault="00FC11CC" w:rsidP="00FC11CC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FC11CC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 y </w:t>
      </w:r>
      <w:r w:rsidRPr="00FC11CC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48 y 43% 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35%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FC11CC" w:rsidRDefault="00FC11CC" w:rsidP="00FC11CC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sz w:val="16"/>
          <w:szCs w:val="16"/>
        </w:rPr>
        <w:t xml:space="preserve"> se recalca la </w:t>
      </w:r>
      <w:r w:rsidRPr="00FC11CC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</w:t>
      </w:r>
      <w:r>
        <w:rPr>
          <w:rFonts w:ascii="Trebuchet MS" w:hAnsi="Trebuchet MS"/>
          <w:sz w:val="16"/>
          <w:szCs w:val="16"/>
        </w:rPr>
        <w:t xml:space="preserve">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24%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24%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FC11CC" w:rsidRDefault="00FC11CC" w:rsidP="00FC11CC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874FE3" w:rsidRDefault="00874FE3" w:rsidP="00874FE3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085B2E02" wp14:editId="2C68ABE5">
            <wp:extent cx="5613621" cy="2544417"/>
            <wp:effectExtent l="0" t="0" r="25400" b="2794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74FE3" w:rsidRDefault="00874FE3" w:rsidP="00874FE3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874FE3" w:rsidRDefault="00874FE3" w:rsidP="00874FE3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18591322" wp14:editId="263D1857">
            <wp:extent cx="5518205" cy="2218414"/>
            <wp:effectExtent l="0" t="0" r="25400" b="10795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26071" w:rsidRDefault="00426071" w:rsidP="0042607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CORDOBA</w:t>
      </w:r>
    </w:p>
    <w:p w:rsidR="00426071" w:rsidRDefault="00426071" w:rsidP="00426071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Cordoba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D848F9">
        <w:rPr>
          <w:rFonts w:ascii="Trebuchet MS" w:hAnsi="Trebuchet MS"/>
          <w:sz w:val="16"/>
          <w:szCs w:val="16"/>
        </w:rPr>
        <w:t>58.3</w:t>
      </w:r>
      <w:r w:rsidRPr="00FC11CC">
        <w:rPr>
          <w:rFonts w:ascii="Trebuchet MS" w:hAnsi="Trebuchet MS"/>
          <w:sz w:val="16"/>
          <w:szCs w:val="16"/>
        </w:rPr>
        <w:t>%</w:t>
      </w:r>
      <w:r w:rsidRPr="005927C1">
        <w:rPr>
          <w:rFonts w:ascii="Trebuchet MS" w:hAnsi="Trebuchet MS"/>
          <w:sz w:val="16"/>
          <w:szCs w:val="16"/>
        </w:rPr>
        <w:t xml:space="preserve"> en cuanto a las acciones estratégicas asociadas al Plan de Acción Seccional. 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="003C54AA" w:rsidRPr="003C54AA">
        <w:rPr>
          <w:rFonts w:ascii="Trebuchet MS" w:hAnsi="Trebuchet MS"/>
          <w:sz w:val="18"/>
          <w:szCs w:val="18"/>
        </w:rPr>
        <w:t xml:space="preserve">zonas libres y de baja prevalencia enfermedades animales - erradicación de brucelosis, zonas libres y de baja prevalencia enfermedades animales - erradicación de tuberculosis, zonas libres y de baja prevalencia enfermedades animales   - </w:t>
      </w:r>
      <w:r w:rsidR="003C54AA">
        <w:rPr>
          <w:rFonts w:ascii="Trebuchet MS" w:hAnsi="Trebuchet MS"/>
          <w:sz w:val="18"/>
          <w:szCs w:val="18"/>
        </w:rPr>
        <w:t>PPC</w:t>
      </w:r>
      <w:r w:rsidR="003C54AA" w:rsidRPr="003C54AA">
        <w:rPr>
          <w:rFonts w:ascii="Trebuchet MS" w:hAnsi="Trebuchet MS"/>
          <w:sz w:val="18"/>
          <w:szCs w:val="18"/>
        </w:rPr>
        <w:t>, control  y erradicación de enfermedades en animales y sistema de información y vigilancia epidemiológica animal</w:t>
      </w:r>
      <w:r w:rsidR="003C54AA">
        <w:rPr>
          <w:rFonts w:ascii="Trebuchet MS" w:hAnsi="Trebuchet MS"/>
          <w:sz w:val="18"/>
          <w:szCs w:val="18"/>
        </w:rPr>
        <w:t xml:space="preserve">, </w:t>
      </w:r>
      <w:r w:rsidR="003C54AA" w:rsidRPr="00210F07">
        <w:rPr>
          <w:rFonts w:ascii="Trebuchet MS" w:hAnsi="Trebuchet MS"/>
          <w:sz w:val="16"/>
          <w:szCs w:val="16"/>
        </w:rPr>
        <w:t>con un porcentaje de cumplimiento del</w:t>
      </w:r>
      <w:r w:rsidR="003C54AA">
        <w:rPr>
          <w:rFonts w:ascii="Trebuchet MS" w:hAnsi="Trebuchet MS"/>
          <w:sz w:val="16"/>
          <w:szCs w:val="16"/>
        </w:rPr>
        <w:t xml:space="preserve"> 92, 100, 79, 62 y 70% respectivamente, </w:t>
      </w:r>
      <w:r w:rsidR="003C54AA" w:rsidRPr="00210F07">
        <w:rPr>
          <w:rFonts w:ascii="Trebuchet MS" w:hAnsi="Trebuchet MS"/>
          <w:sz w:val="16"/>
          <w:szCs w:val="16"/>
        </w:rPr>
        <w:t>alcanzando así  un</w:t>
      </w:r>
      <w:r w:rsidR="003C54AA">
        <w:rPr>
          <w:rFonts w:ascii="Trebuchet MS" w:hAnsi="Trebuchet MS"/>
          <w:sz w:val="16"/>
          <w:szCs w:val="16"/>
        </w:rPr>
        <w:t xml:space="preserve"> 60% </w:t>
      </w:r>
      <w:r w:rsidR="003C54AA" w:rsidRPr="00210F07">
        <w:rPr>
          <w:rFonts w:ascii="Trebuchet MS" w:hAnsi="Trebuchet MS"/>
          <w:sz w:val="16"/>
          <w:szCs w:val="16"/>
        </w:rPr>
        <w:t>en su Plan de Acción.</w:t>
      </w:r>
      <w:r w:rsidR="003C54AA">
        <w:rPr>
          <w:rFonts w:ascii="Trebuchet MS" w:hAnsi="Trebuchet MS"/>
          <w:sz w:val="18"/>
          <w:szCs w:val="18"/>
        </w:rPr>
        <w:t xml:space="preserve"> </w:t>
      </w:r>
    </w:p>
    <w:p w:rsidR="00426071" w:rsidRDefault="00426071" w:rsidP="0042607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426071">
        <w:rPr>
          <w:rFonts w:ascii="Trebuchet MS" w:hAnsi="Trebuchet MS"/>
          <w:sz w:val="16"/>
          <w:szCs w:val="16"/>
        </w:rPr>
        <w:t>control técnico a las semillas, bioseguridad y derechos de obtentor</w:t>
      </w:r>
      <w:r>
        <w:rPr>
          <w:rFonts w:ascii="Trebuchet MS" w:hAnsi="Trebuchet MS"/>
          <w:sz w:val="16"/>
          <w:szCs w:val="16"/>
        </w:rPr>
        <w:t xml:space="preserve">, </w:t>
      </w:r>
      <w:r w:rsidRPr="00426071">
        <w:rPr>
          <w:rFonts w:ascii="Trebuchet MS" w:hAnsi="Trebuchet MS"/>
          <w:sz w:val="16"/>
          <w:szCs w:val="16"/>
        </w:rPr>
        <w:t>detección, control y erradicación - plan naci</w:t>
      </w:r>
      <w:r>
        <w:rPr>
          <w:rFonts w:ascii="Trebuchet MS" w:hAnsi="Trebuchet MS"/>
          <w:sz w:val="16"/>
          <w:szCs w:val="16"/>
        </w:rPr>
        <w:t xml:space="preserve">onal de mosca de la fruta –pnmf, </w:t>
      </w:r>
      <w:r w:rsidRPr="00426071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426071">
        <w:rPr>
          <w:rFonts w:ascii="Trebuchet MS" w:hAnsi="Trebuchet MS"/>
          <w:sz w:val="16"/>
          <w:szCs w:val="16"/>
        </w:rPr>
        <w:t xml:space="preserve">protección fitosanitaria sobre las principales especies agrícolas del </w:t>
      </w:r>
      <w:r>
        <w:rPr>
          <w:rFonts w:ascii="Trebuchet MS" w:hAnsi="Trebuchet MS"/>
          <w:sz w:val="16"/>
          <w:szCs w:val="16"/>
        </w:rPr>
        <w:t xml:space="preserve">país, </w:t>
      </w:r>
      <w:r w:rsidRPr="00426071">
        <w:rPr>
          <w:rFonts w:ascii="Trebuchet MS" w:hAnsi="Trebuchet MS"/>
          <w:sz w:val="16"/>
          <w:szCs w:val="16"/>
        </w:rPr>
        <w:t>vigilancia y manejo de pc en cultivos de palma de aceite</w:t>
      </w:r>
      <w:r>
        <w:rPr>
          <w:rFonts w:ascii="Trebuchet MS" w:hAnsi="Trebuchet MS"/>
          <w:sz w:val="16"/>
          <w:szCs w:val="16"/>
        </w:rPr>
        <w:t xml:space="preserve">, </w:t>
      </w:r>
      <w:r w:rsidRPr="00426071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>
        <w:rPr>
          <w:rFonts w:ascii="Trebuchet MS" w:hAnsi="Trebuchet MS"/>
          <w:sz w:val="16"/>
          <w:szCs w:val="16"/>
        </w:rPr>
        <w:t xml:space="preserve">, </w:t>
      </w:r>
      <w:r w:rsidRPr="00426071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 y </w:t>
      </w:r>
      <w:r w:rsidRPr="00426071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50.5, 73.1, 64.9, 59.4, 64.9, 83, 58.8 y 61.2%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58%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426071" w:rsidRDefault="00426071" w:rsidP="0042607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Pr="00426071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 y </w:t>
      </w:r>
      <w:r w:rsidRPr="00426071">
        <w:rPr>
          <w:rFonts w:ascii="Trebuchet MS" w:hAnsi="Trebuchet MS"/>
          <w:sz w:val="16"/>
          <w:szCs w:val="16"/>
        </w:rPr>
        <w:t>consolidación del servicio en la red oficial de diagnóstico fitosanitario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52.3 y 62%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57% </w:t>
      </w:r>
      <w:r w:rsidRPr="00210F07">
        <w:rPr>
          <w:rFonts w:ascii="Trebuchet MS" w:hAnsi="Trebuchet MS"/>
          <w:sz w:val="16"/>
          <w:szCs w:val="16"/>
        </w:rPr>
        <w:t>en su Plan de Acción.</w:t>
      </w:r>
      <w:r>
        <w:rPr>
          <w:rFonts w:ascii="Trebuchet MS" w:hAnsi="Trebuchet MS"/>
          <w:sz w:val="16"/>
          <w:szCs w:val="16"/>
        </w:rPr>
        <w:t xml:space="preserve"> </w:t>
      </w:r>
    </w:p>
    <w:p w:rsidR="00426071" w:rsidRDefault="00426071" w:rsidP="0042607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426071" w:rsidRDefault="003C54AA" w:rsidP="005046F4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3EB0AFDD" wp14:editId="3E880614">
            <wp:extent cx="5613621" cy="2019632"/>
            <wp:effectExtent l="0" t="0" r="25400" b="1905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C54AA" w:rsidRDefault="003C54AA" w:rsidP="003C54A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426071" w:rsidRDefault="007A0BA1" w:rsidP="007A0BA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D82E777" wp14:editId="380969AF">
            <wp:extent cx="5462546" cy="1900362"/>
            <wp:effectExtent l="0" t="0" r="24130" b="2413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82B66" w:rsidRDefault="00682B66" w:rsidP="00682B6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NORTE SANTANDER</w:t>
      </w:r>
    </w:p>
    <w:p w:rsidR="00A26CFF" w:rsidRDefault="009D4161" w:rsidP="00A26CFF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 w:rsidR="00701A86">
        <w:rPr>
          <w:rFonts w:ascii="Trebuchet MS" w:hAnsi="Trebuchet MS"/>
          <w:sz w:val="16"/>
          <w:szCs w:val="16"/>
        </w:rPr>
        <w:t>N. Santander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B11E5A">
        <w:rPr>
          <w:rFonts w:ascii="Trebuchet MS" w:hAnsi="Trebuchet MS"/>
          <w:sz w:val="16"/>
          <w:szCs w:val="16"/>
        </w:rPr>
        <w:t>37.8%</w:t>
      </w:r>
      <w:r w:rsidRPr="005927C1">
        <w:rPr>
          <w:rFonts w:ascii="Trebuchet MS" w:hAnsi="Trebuchet MS"/>
          <w:sz w:val="16"/>
          <w:szCs w:val="16"/>
        </w:rPr>
        <w:t xml:space="preserve"> 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="00A26CFF" w:rsidRPr="00A26CFF">
        <w:rPr>
          <w:rFonts w:ascii="Trebuchet MS" w:hAnsi="Trebuchet MS"/>
          <w:sz w:val="18"/>
          <w:szCs w:val="18"/>
        </w:rPr>
        <w:t>zonas libres y de baja prevalencia enfermedades animales  - enfermedades aviares, control  y erradicación de enfermedades en animales y sistema nacional de identificación e información de animales</w:t>
      </w:r>
      <w:r w:rsidR="00A26CFF">
        <w:rPr>
          <w:rFonts w:ascii="Trebuchet MS" w:hAnsi="Trebuchet MS"/>
          <w:sz w:val="18"/>
          <w:szCs w:val="18"/>
        </w:rPr>
        <w:t xml:space="preserve">, </w:t>
      </w:r>
      <w:r w:rsidR="00A26CFF" w:rsidRPr="00210F07">
        <w:rPr>
          <w:rFonts w:ascii="Trebuchet MS" w:hAnsi="Trebuchet MS"/>
          <w:sz w:val="16"/>
          <w:szCs w:val="16"/>
        </w:rPr>
        <w:t>con un porcentaje de cumplimiento del</w:t>
      </w:r>
      <w:r w:rsidR="00A26CFF">
        <w:rPr>
          <w:rFonts w:ascii="Trebuchet MS" w:hAnsi="Trebuchet MS"/>
          <w:sz w:val="16"/>
          <w:szCs w:val="16"/>
        </w:rPr>
        <w:t xml:space="preserve"> 66, 53 y 100% respectivamente, </w:t>
      </w:r>
      <w:r w:rsidR="00A26CFF" w:rsidRPr="00210F07">
        <w:rPr>
          <w:rFonts w:ascii="Trebuchet MS" w:hAnsi="Trebuchet MS"/>
          <w:sz w:val="16"/>
          <w:szCs w:val="16"/>
        </w:rPr>
        <w:t>alcanzando así  un</w:t>
      </w:r>
      <w:r w:rsidR="00A26CFF">
        <w:rPr>
          <w:rFonts w:ascii="Trebuchet MS" w:hAnsi="Trebuchet MS"/>
          <w:sz w:val="16"/>
          <w:szCs w:val="16"/>
        </w:rPr>
        <w:t xml:space="preserve"> 41% </w:t>
      </w:r>
      <w:r w:rsidR="00A26CFF" w:rsidRPr="00210F07">
        <w:rPr>
          <w:rFonts w:ascii="Trebuchet MS" w:hAnsi="Trebuchet MS"/>
          <w:sz w:val="16"/>
          <w:szCs w:val="16"/>
        </w:rPr>
        <w:t>en su Plan de Acción.</w:t>
      </w:r>
    </w:p>
    <w:p w:rsidR="009D4161" w:rsidRDefault="009D4161" w:rsidP="009D416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9D4161">
        <w:rPr>
          <w:rFonts w:ascii="Trebuchet MS" w:hAnsi="Trebuchet MS"/>
          <w:sz w:val="16"/>
          <w:szCs w:val="16"/>
        </w:rPr>
        <w:t>detección, control y erradicación - plan naci</w:t>
      </w:r>
      <w:r>
        <w:rPr>
          <w:rFonts w:ascii="Trebuchet MS" w:hAnsi="Trebuchet MS"/>
          <w:sz w:val="16"/>
          <w:szCs w:val="16"/>
        </w:rPr>
        <w:t xml:space="preserve">onal de mosca de la fruta –pnmf, </w:t>
      </w:r>
      <w:r w:rsidRPr="009D4161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 y </w:t>
      </w:r>
      <w:r w:rsidRPr="009D4161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 46, 45 y 51.9%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37%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F54D8F" w:rsidRDefault="009D4161" w:rsidP="009D416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sz w:val="16"/>
          <w:szCs w:val="16"/>
        </w:rPr>
        <w:t xml:space="preserve"> se destaca la Acción E</w:t>
      </w:r>
      <w:r w:rsidRPr="00210F07">
        <w:rPr>
          <w:rFonts w:ascii="Trebuchet MS" w:hAnsi="Trebuchet MS"/>
          <w:sz w:val="16"/>
          <w:szCs w:val="16"/>
        </w:rPr>
        <w:t>stratégica</w:t>
      </w:r>
      <w:r>
        <w:rPr>
          <w:rFonts w:ascii="Trebuchet MS" w:hAnsi="Trebuchet MS"/>
          <w:sz w:val="16"/>
          <w:szCs w:val="16"/>
        </w:rPr>
        <w:t xml:space="preserve"> de </w:t>
      </w:r>
      <w:r w:rsidR="00701A86" w:rsidRPr="00701A86">
        <w:rPr>
          <w:rFonts w:ascii="Trebuchet MS" w:hAnsi="Trebuchet MS"/>
          <w:sz w:val="16"/>
          <w:szCs w:val="16"/>
        </w:rPr>
        <w:t>consolidación del servicio en la red oficial de diagnóstico fitosanitario</w:t>
      </w:r>
      <w:r w:rsidR="00701A86">
        <w:rPr>
          <w:rFonts w:ascii="Trebuchet MS" w:hAnsi="Trebuchet MS"/>
          <w:sz w:val="16"/>
          <w:szCs w:val="16"/>
        </w:rPr>
        <w:t xml:space="preserve">, </w:t>
      </w:r>
      <w:r w:rsidR="00701A86" w:rsidRPr="00210F07">
        <w:rPr>
          <w:rFonts w:ascii="Trebuchet MS" w:hAnsi="Trebuchet MS"/>
          <w:sz w:val="16"/>
          <w:szCs w:val="16"/>
        </w:rPr>
        <w:t>con un porcentaje de cumplimiento del</w:t>
      </w:r>
      <w:r w:rsidR="00701A86">
        <w:rPr>
          <w:rFonts w:ascii="Trebuchet MS" w:hAnsi="Trebuchet MS"/>
          <w:sz w:val="16"/>
          <w:szCs w:val="16"/>
        </w:rPr>
        <w:t xml:space="preserve"> 65% respectivamente, </w:t>
      </w:r>
      <w:r w:rsidR="00701A86" w:rsidRPr="00210F07">
        <w:rPr>
          <w:rFonts w:ascii="Trebuchet MS" w:hAnsi="Trebuchet MS"/>
          <w:sz w:val="16"/>
          <w:szCs w:val="16"/>
        </w:rPr>
        <w:t>alcanzando así  un</w:t>
      </w:r>
      <w:r w:rsidR="00701A86">
        <w:rPr>
          <w:rFonts w:ascii="Trebuchet MS" w:hAnsi="Trebuchet MS"/>
          <w:sz w:val="16"/>
          <w:szCs w:val="16"/>
        </w:rPr>
        <w:t xml:space="preserve"> 51% </w:t>
      </w:r>
      <w:r w:rsidR="00701A86" w:rsidRPr="00210F07">
        <w:rPr>
          <w:rFonts w:ascii="Trebuchet MS" w:hAnsi="Trebuchet MS"/>
          <w:sz w:val="16"/>
          <w:szCs w:val="16"/>
        </w:rPr>
        <w:t>en su Plan de Acción.</w:t>
      </w:r>
    </w:p>
    <w:p w:rsidR="00701A86" w:rsidRDefault="00701A86" w:rsidP="00701A8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B11E5A" w:rsidRDefault="00B11E5A" w:rsidP="00B11E5A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7FDBF618" wp14:editId="57BA8369">
            <wp:extent cx="5613621" cy="2218414"/>
            <wp:effectExtent l="0" t="0" r="25400" b="10795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B11E5A" w:rsidRDefault="00B11E5A" w:rsidP="00B11E5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701A86" w:rsidRDefault="00B11E5A" w:rsidP="00701A8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34A5191" wp14:editId="16DB2427">
            <wp:extent cx="5446644" cy="2361537"/>
            <wp:effectExtent l="0" t="0" r="20955" b="2032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24291" w:rsidRDefault="00524291" w:rsidP="0052429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ARAUCA</w:t>
      </w:r>
    </w:p>
    <w:p w:rsidR="00D50CDA" w:rsidRDefault="00524291" w:rsidP="00D50CDA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 w:rsidR="00C97031">
        <w:rPr>
          <w:rFonts w:ascii="Trebuchet MS" w:hAnsi="Trebuchet MS"/>
          <w:sz w:val="16"/>
          <w:szCs w:val="16"/>
        </w:rPr>
        <w:t>Arauca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Pr="00D50CDA">
        <w:rPr>
          <w:rFonts w:ascii="Trebuchet MS" w:hAnsi="Trebuchet MS"/>
          <w:sz w:val="16"/>
          <w:szCs w:val="16"/>
        </w:rPr>
        <w:t>3</w:t>
      </w:r>
      <w:r w:rsidR="00D50CDA" w:rsidRPr="00D50CDA">
        <w:rPr>
          <w:rFonts w:ascii="Trebuchet MS" w:hAnsi="Trebuchet MS"/>
          <w:sz w:val="16"/>
          <w:szCs w:val="16"/>
        </w:rPr>
        <w:t>0</w:t>
      </w:r>
      <w:r w:rsidRPr="00D50CDA">
        <w:rPr>
          <w:rFonts w:ascii="Trebuchet MS" w:hAnsi="Trebuchet MS"/>
          <w:sz w:val="16"/>
          <w:szCs w:val="16"/>
        </w:rPr>
        <w:t>.8%</w:t>
      </w:r>
      <w:r w:rsidRPr="005927C1">
        <w:rPr>
          <w:rFonts w:ascii="Trebuchet MS" w:hAnsi="Trebuchet MS"/>
          <w:sz w:val="16"/>
          <w:szCs w:val="16"/>
        </w:rPr>
        <w:t xml:space="preserve"> 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D50CDA">
        <w:rPr>
          <w:rFonts w:ascii="Trebuchet MS" w:hAnsi="Trebuchet MS"/>
          <w:sz w:val="16"/>
          <w:szCs w:val="16"/>
        </w:rPr>
        <w:t xml:space="preserve"> </w:t>
      </w:r>
      <w:r w:rsidR="00D50CDA" w:rsidRPr="00D50CDA">
        <w:rPr>
          <w:rFonts w:ascii="Trebuchet MS" w:hAnsi="Trebuchet MS"/>
          <w:sz w:val="18"/>
          <w:szCs w:val="18"/>
        </w:rPr>
        <w:t>zonas libres y de baja prevalencia enfermedades animales - erradicación de brucelosis, zonas libres y de baja prevalencia enfermedades animales - erradicación de tuberculosis, zonas libres y de baja prevalencia enfermedades animales  - enfermedades aviares y combatir insumos agropecuario ilegales y formalización productores</w:t>
      </w:r>
      <w:r w:rsidR="00D50CDA">
        <w:rPr>
          <w:rFonts w:ascii="Trebuchet MS" w:hAnsi="Trebuchet MS"/>
          <w:sz w:val="18"/>
          <w:szCs w:val="18"/>
        </w:rPr>
        <w:t xml:space="preserve">, </w:t>
      </w:r>
      <w:r w:rsidR="00D50CDA" w:rsidRPr="00210F07">
        <w:rPr>
          <w:rFonts w:ascii="Trebuchet MS" w:hAnsi="Trebuchet MS"/>
          <w:sz w:val="16"/>
          <w:szCs w:val="16"/>
        </w:rPr>
        <w:t>con un porcentaje de cumplimiento del</w:t>
      </w:r>
      <w:r w:rsidR="00D50CDA">
        <w:rPr>
          <w:rFonts w:ascii="Trebuchet MS" w:hAnsi="Trebuchet MS"/>
          <w:sz w:val="16"/>
          <w:szCs w:val="16"/>
        </w:rPr>
        <w:t xml:space="preserve"> 89, 100, 91 y 62% respectivamente, </w:t>
      </w:r>
      <w:r w:rsidR="00D50CDA" w:rsidRPr="00210F07">
        <w:rPr>
          <w:rFonts w:ascii="Trebuchet MS" w:hAnsi="Trebuchet MS"/>
          <w:sz w:val="16"/>
          <w:szCs w:val="16"/>
        </w:rPr>
        <w:t>alcanzando así  un</w:t>
      </w:r>
      <w:r w:rsidR="00D50CDA">
        <w:rPr>
          <w:rFonts w:ascii="Trebuchet MS" w:hAnsi="Trebuchet MS"/>
          <w:sz w:val="16"/>
          <w:szCs w:val="16"/>
        </w:rPr>
        <w:t xml:space="preserve"> 53% </w:t>
      </w:r>
      <w:r w:rsidR="00D50CDA" w:rsidRPr="00210F07">
        <w:rPr>
          <w:rFonts w:ascii="Trebuchet MS" w:hAnsi="Trebuchet MS"/>
          <w:sz w:val="16"/>
          <w:szCs w:val="16"/>
        </w:rPr>
        <w:t>en su Plan de Acción.</w:t>
      </w:r>
    </w:p>
    <w:p w:rsidR="00524291" w:rsidRDefault="00524291" w:rsidP="0052429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524291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 y </w:t>
      </w:r>
      <w:r w:rsidRPr="00524291">
        <w:rPr>
          <w:rFonts w:ascii="Trebuchet MS" w:hAnsi="Trebuchet MS"/>
          <w:sz w:val="16"/>
          <w:szCs w:val="16"/>
        </w:rPr>
        <w:t>protección fitosanitaria sobre las principales especies agrícolas del país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 67.5 y 45.5%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38.4%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524291" w:rsidRDefault="00524291" w:rsidP="0052429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 w:rsidRPr="00524291">
        <w:rPr>
          <w:rFonts w:ascii="Trebuchet MS" w:hAnsi="Trebuchet MS"/>
          <w:sz w:val="16"/>
          <w:szCs w:val="16"/>
        </w:rPr>
        <w:t>se recalca 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32%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32%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524291" w:rsidRDefault="00524291" w:rsidP="0052429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524291" w:rsidRDefault="00D50CDA" w:rsidP="00524291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596E8D3C" wp14:editId="6E116D60">
            <wp:extent cx="5613621" cy="2130950"/>
            <wp:effectExtent l="0" t="0" r="25400" b="22225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6653B3" w:rsidRDefault="006653B3" w:rsidP="006653B3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FC11CC" w:rsidRDefault="006653B3" w:rsidP="006653B3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08D1BD6" wp14:editId="05520057">
            <wp:extent cx="5510254" cy="2282025"/>
            <wp:effectExtent l="0" t="0" r="14605" b="23495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981796" w:rsidRDefault="00981796" w:rsidP="0098179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SUCRE</w:t>
      </w:r>
    </w:p>
    <w:p w:rsidR="007F2C6B" w:rsidRDefault="00981796" w:rsidP="007F2C6B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Sucre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147A93">
        <w:rPr>
          <w:rFonts w:ascii="Trebuchet MS" w:hAnsi="Trebuchet MS"/>
          <w:sz w:val="16"/>
          <w:szCs w:val="16"/>
        </w:rPr>
        <w:t>44.8%</w:t>
      </w:r>
      <w:r w:rsidRPr="005927C1">
        <w:rPr>
          <w:rFonts w:ascii="Trebuchet MS" w:hAnsi="Trebuchet MS"/>
          <w:sz w:val="16"/>
          <w:szCs w:val="16"/>
        </w:rPr>
        <w:t xml:space="preserve"> 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="007F2C6B" w:rsidRPr="007F2C6B">
        <w:rPr>
          <w:rFonts w:ascii="Trebuchet MS" w:hAnsi="Trebuchet MS"/>
          <w:sz w:val="18"/>
          <w:szCs w:val="18"/>
        </w:rPr>
        <w:t xml:space="preserve">zonas libres y de baja prevalencia enfermedades animales   - </w:t>
      </w:r>
      <w:r w:rsidR="007F2C6B">
        <w:rPr>
          <w:rFonts w:ascii="Trebuchet MS" w:hAnsi="Trebuchet MS"/>
          <w:sz w:val="18"/>
          <w:szCs w:val="18"/>
        </w:rPr>
        <w:t>PPC</w:t>
      </w:r>
      <w:r w:rsidR="007F2C6B" w:rsidRPr="007F2C6B">
        <w:rPr>
          <w:rFonts w:ascii="Trebuchet MS" w:hAnsi="Trebuchet MS"/>
          <w:sz w:val="18"/>
          <w:szCs w:val="18"/>
        </w:rPr>
        <w:t xml:space="preserve">, zonas libres y de baja prevalencia enfermedades animales - encefalopatía espongiforme bovina- </w:t>
      </w:r>
      <w:r w:rsidR="007F2C6B">
        <w:rPr>
          <w:rFonts w:ascii="Trebuchet MS" w:hAnsi="Trebuchet MS"/>
          <w:sz w:val="18"/>
          <w:szCs w:val="18"/>
        </w:rPr>
        <w:t>EEB</w:t>
      </w:r>
      <w:r w:rsidR="007F2C6B" w:rsidRPr="007F2C6B">
        <w:rPr>
          <w:rFonts w:ascii="Trebuchet MS" w:hAnsi="Trebuchet MS"/>
          <w:sz w:val="18"/>
          <w:szCs w:val="18"/>
        </w:rPr>
        <w:t>, control  y erradicación de enfermedades en animales y sistema de información y vigilancia epidemiológica animal</w:t>
      </w:r>
      <w:r w:rsidR="007F2C6B">
        <w:rPr>
          <w:rFonts w:ascii="Trebuchet MS" w:hAnsi="Trebuchet MS"/>
          <w:sz w:val="18"/>
          <w:szCs w:val="18"/>
        </w:rPr>
        <w:t xml:space="preserve">, </w:t>
      </w:r>
      <w:r w:rsidR="007F2C6B" w:rsidRPr="00210F07">
        <w:rPr>
          <w:rFonts w:ascii="Trebuchet MS" w:hAnsi="Trebuchet MS"/>
          <w:sz w:val="16"/>
          <w:szCs w:val="16"/>
        </w:rPr>
        <w:t>con un porcentaje de cumplimiento del</w:t>
      </w:r>
      <w:r w:rsidR="007F2C6B">
        <w:rPr>
          <w:rFonts w:ascii="Trebuchet MS" w:hAnsi="Trebuchet MS"/>
          <w:sz w:val="16"/>
          <w:szCs w:val="16"/>
        </w:rPr>
        <w:t xml:space="preserve"> 72, 61, 64 y 60% respectivamente, </w:t>
      </w:r>
      <w:r w:rsidR="007F2C6B" w:rsidRPr="00210F07">
        <w:rPr>
          <w:rFonts w:ascii="Trebuchet MS" w:hAnsi="Trebuchet MS"/>
          <w:sz w:val="16"/>
          <w:szCs w:val="16"/>
        </w:rPr>
        <w:t>alcanzando así  un</w:t>
      </w:r>
      <w:r w:rsidR="007F2C6B">
        <w:rPr>
          <w:rFonts w:ascii="Trebuchet MS" w:hAnsi="Trebuchet MS"/>
          <w:sz w:val="16"/>
          <w:szCs w:val="16"/>
        </w:rPr>
        <w:t xml:space="preserve"> 54% </w:t>
      </w:r>
      <w:r w:rsidR="007F2C6B" w:rsidRPr="00210F07">
        <w:rPr>
          <w:rFonts w:ascii="Trebuchet MS" w:hAnsi="Trebuchet MS"/>
          <w:sz w:val="16"/>
          <w:szCs w:val="16"/>
        </w:rPr>
        <w:t>en su Plan de Acción.</w:t>
      </w:r>
    </w:p>
    <w:p w:rsidR="00981796" w:rsidRDefault="00981796" w:rsidP="0098179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="00A735D5"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981796">
        <w:rPr>
          <w:rFonts w:ascii="Trebuchet MS" w:hAnsi="Trebuchet MS"/>
          <w:sz w:val="16"/>
          <w:szCs w:val="16"/>
        </w:rPr>
        <w:t>detección, control y erradicación - plan naci</w:t>
      </w:r>
      <w:r>
        <w:rPr>
          <w:rFonts w:ascii="Trebuchet MS" w:hAnsi="Trebuchet MS"/>
          <w:sz w:val="16"/>
          <w:szCs w:val="16"/>
        </w:rPr>
        <w:t xml:space="preserve">onal de mosca de la fruta –pnmf, </w:t>
      </w:r>
      <w:r w:rsidRPr="00981796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981796">
        <w:rPr>
          <w:rFonts w:ascii="Trebuchet MS" w:hAnsi="Trebuchet MS"/>
          <w:sz w:val="16"/>
          <w:szCs w:val="16"/>
        </w:rPr>
        <w:t>atención oportuna de emergencias fitosanitarias</w:t>
      </w:r>
      <w:r>
        <w:rPr>
          <w:rFonts w:ascii="Trebuchet MS" w:hAnsi="Trebuchet MS"/>
          <w:sz w:val="16"/>
          <w:szCs w:val="16"/>
        </w:rPr>
        <w:t xml:space="preserve">, </w:t>
      </w:r>
      <w:r w:rsidRPr="00981796">
        <w:rPr>
          <w:rFonts w:ascii="Trebuchet MS" w:hAnsi="Trebuchet MS"/>
          <w:sz w:val="16"/>
          <w:szCs w:val="16"/>
        </w:rPr>
        <w:t>vigilancia y manejo de pc en cultivos de palma de aceite</w:t>
      </w:r>
      <w:r>
        <w:rPr>
          <w:rFonts w:ascii="Trebuchet MS" w:hAnsi="Trebuchet MS"/>
          <w:sz w:val="16"/>
          <w:szCs w:val="16"/>
        </w:rPr>
        <w:t xml:space="preserve"> y </w:t>
      </w:r>
      <w:r w:rsidRPr="00981796">
        <w:rPr>
          <w:rFonts w:ascii="Trebuchet MS" w:hAnsi="Trebuchet MS"/>
          <w:sz w:val="16"/>
          <w:szCs w:val="16"/>
        </w:rPr>
        <w:t>programa de vigilancia fitosanitaria forestal</w:t>
      </w:r>
      <w:r w:rsidR="00A735D5"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50, 64, 84, 100 y 72%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50</w:t>
      </w:r>
      <w:r w:rsidR="00A735D5">
        <w:rPr>
          <w:rFonts w:ascii="Trebuchet MS" w:hAnsi="Trebuchet MS"/>
          <w:sz w:val="16"/>
          <w:szCs w:val="16"/>
        </w:rPr>
        <w:t>.2</w:t>
      </w:r>
      <w:r>
        <w:rPr>
          <w:rFonts w:ascii="Trebuchet MS" w:hAnsi="Trebuchet MS"/>
          <w:sz w:val="16"/>
          <w:szCs w:val="16"/>
        </w:rPr>
        <w:t xml:space="preserve">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981796" w:rsidRDefault="00A735D5" w:rsidP="00981796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 w:rsidRPr="00524291">
        <w:rPr>
          <w:rFonts w:ascii="Trebuchet MS" w:hAnsi="Trebuchet MS"/>
          <w:sz w:val="16"/>
          <w:szCs w:val="16"/>
        </w:rPr>
        <w:t>se recalca</w:t>
      </w:r>
      <w:r>
        <w:rPr>
          <w:rFonts w:ascii="Trebuchet MS" w:hAnsi="Trebuchet MS"/>
          <w:sz w:val="16"/>
          <w:szCs w:val="16"/>
        </w:rPr>
        <w:t xml:space="preserve"> </w:t>
      </w:r>
      <w:r w:rsidRPr="00A735D5">
        <w:rPr>
          <w:rFonts w:ascii="Trebuchet MS" w:hAnsi="Trebuchet MS"/>
          <w:sz w:val="16"/>
          <w:szCs w:val="16"/>
        </w:rPr>
        <w:t xml:space="preserve">consolidación del servicio en la red oficial de laboratorios de diagnóstico veterinario y fortalecimiento en la red oficial de </w:t>
      </w:r>
      <w:r>
        <w:rPr>
          <w:rFonts w:ascii="Trebuchet MS" w:hAnsi="Trebuchet MS"/>
          <w:sz w:val="16"/>
          <w:szCs w:val="16"/>
        </w:rPr>
        <w:t>B</w:t>
      </w:r>
      <w:r w:rsidRPr="00A735D5">
        <w:rPr>
          <w:rFonts w:ascii="Trebuchet MS" w:hAnsi="Trebuchet MS"/>
          <w:sz w:val="16"/>
          <w:szCs w:val="16"/>
        </w:rPr>
        <w:t>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30%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30%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A735D5" w:rsidRDefault="00A735D5" w:rsidP="00A735D5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A735D5" w:rsidRDefault="00147A93" w:rsidP="00147A93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0F61818B" wp14:editId="4B395584">
            <wp:extent cx="5613621" cy="2067339"/>
            <wp:effectExtent l="0" t="0" r="25400" b="9525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147A93" w:rsidRDefault="00147A93" w:rsidP="00147A93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5927C1" w:rsidRDefault="00147A93" w:rsidP="00CC125E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7B0468F" wp14:editId="180DF4FD">
            <wp:extent cx="5613621" cy="2488759"/>
            <wp:effectExtent l="0" t="0" r="25400" b="26035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C94548" w:rsidRDefault="00C94548" w:rsidP="00C945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 xml:space="preserve">GERENCIA  SECCIONAL </w:t>
      </w:r>
      <w:r w:rsidR="008F1B7D">
        <w:rPr>
          <w:rFonts w:ascii="Trebuchet MS" w:hAnsi="Trebuchet MS"/>
          <w:b/>
          <w:sz w:val="28"/>
          <w:szCs w:val="28"/>
        </w:rPr>
        <w:t>QUINDIO</w:t>
      </w:r>
    </w:p>
    <w:p w:rsidR="00611A1F" w:rsidRDefault="008F1B7D" w:rsidP="00611A1F">
      <w:pPr>
        <w:jc w:val="both"/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Quindio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1571F8">
        <w:rPr>
          <w:rFonts w:ascii="Trebuchet MS" w:hAnsi="Trebuchet MS"/>
          <w:sz w:val="16"/>
          <w:szCs w:val="16"/>
        </w:rPr>
        <w:t>54.5%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1571F8">
        <w:rPr>
          <w:rFonts w:ascii="Trebuchet MS" w:hAnsi="Trebuchet MS"/>
          <w:sz w:val="16"/>
          <w:szCs w:val="16"/>
        </w:rPr>
        <w:t xml:space="preserve"> </w:t>
      </w:r>
      <w:r w:rsidR="001571F8" w:rsidRPr="00611A1F">
        <w:rPr>
          <w:rFonts w:ascii="Trebuchet MS" w:hAnsi="Trebuchet MS"/>
          <w:sz w:val="16"/>
          <w:szCs w:val="16"/>
        </w:rPr>
        <w:t xml:space="preserve">zonas libres y baja prevalencia enfermedades animales - fiebre aftosa, zonas libres y de baja prevalencia enfermedades animales   - </w:t>
      </w:r>
      <w:r w:rsidR="00611A1F">
        <w:rPr>
          <w:rFonts w:ascii="Trebuchet MS" w:hAnsi="Trebuchet MS"/>
          <w:sz w:val="16"/>
          <w:szCs w:val="16"/>
        </w:rPr>
        <w:t>PPC</w:t>
      </w:r>
      <w:r w:rsidR="001571F8" w:rsidRPr="00611A1F">
        <w:rPr>
          <w:rFonts w:ascii="Trebuchet MS" w:hAnsi="Trebuchet MS"/>
          <w:sz w:val="16"/>
          <w:szCs w:val="16"/>
        </w:rPr>
        <w:t>, sistema de información y vigilancia epidemiológica animal,</w:t>
      </w:r>
      <w:r w:rsidR="001571F8" w:rsidRPr="00611A1F">
        <w:rPr>
          <w:sz w:val="16"/>
          <w:szCs w:val="16"/>
        </w:rPr>
        <w:t xml:space="preserve"> </w:t>
      </w:r>
      <w:r w:rsidR="00611A1F" w:rsidRPr="00210F07">
        <w:rPr>
          <w:rFonts w:ascii="Trebuchet MS" w:hAnsi="Trebuchet MS"/>
          <w:sz w:val="16"/>
          <w:szCs w:val="16"/>
        </w:rPr>
        <w:t>con un porcentaje de cumplimiento del</w:t>
      </w:r>
      <w:r w:rsidR="00611A1F">
        <w:rPr>
          <w:rFonts w:ascii="Trebuchet MS" w:hAnsi="Trebuchet MS"/>
          <w:sz w:val="16"/>
          <w:szCs w:val="16"/>
        </w:rPr>
        <w:t xml:space="preserve"> 66, 81 y 85% respectivamente, </w:t>
      </w:r>
      <w:r w:rsidR="00611A1F" w:rsidRPr="00210F07">
        <w:rPr>
          <w:rFonts w:ascii="Trebuchet MS" w:hAnsi="Trebuchet MS"/>
          <w:sz w:val="16"/>
          <w:szCs w:val="16"/>
        </w:rPr>
        <w:t>alcanzando así  un</w:t>
      </w:r>
      <w:r w:rsidR="00611A1F">
        <w:rPr>
          <w:rFonts w:ascii="Trebuchet MS" w:hAnsi="Trebuchet MS"/>
          <w:sz w:val="16"/>
          <w:szCs w:val="16"/>
        </w:rPr>
        <w:t xml:space="preserve"> 52% </w:t>
      </w:r>
      <w:r w:rsidR="00611A1F" w:rsidRPr="00210F07">
        <w:rPr>
          <w:rFonts w:ascii="Trebuchet MS" w:hAnsi="Trebuchet MS"/>
          <w:sz w:val="16"/>
          <w:szCs w:val="16"/>
        </w:rPr>
        <w:t>en su Plan de Acción.</w:t>
      </w:r>
      <w:r w:rsidR="00611A1F">
        <w:rPr>
          <w:rFonts w:ascii="Trebuchet MS" w:hAnsi="Trebuchet MS"/>
          <w:sz w:val="16"/>
          <w:szCs w:val="16"/>
        </w:rPr>
        <w:t xml:space="preserve"> </w:t>
      </w:r>
      <w:r w:rsidR="00611A1F" w:rsidRPr="00611A1F">
        <w:rPr>
          <w:rFonts w:ascii="Trebuchet MS" w:hAnsi="Trebuchet MS"/>
          <w:b/>
          <w:sz w:val="16"/>
          <w:szCs w:val="16"/>
          <w:u w:val="single"/>
        </w:rPr>
        <w:t>Cabe resaltar que esta seccional No tiene información referente a  la ponderación, línea base y meta de las acciones estratégicas</w:t>
      </w:r>
      <w:r w:rsidR="00611A1F">
        <w:rPr>
          <w:rFonts w:ascii="Trebuchet MS" w:hAnsi="Trebuchet MS"/>
          <w:b/>
          <w:sz w:val="16"/>
          <w:szCs w:val="16"/>
          <w:u w:val="single"/>
        </w:rPr>
        <w:t xml:space="preserve"> de </w:t>
      </w:r>
      <w:r w:rsidR="00611A1F" w:rsidRPr="00611A1F">
        <w:rPr>
          <w:rFonts w:ascii="Trebuchet MS" w:hAnsi="Trebuchet MS"/>
          <w:b/>
          <w:sz w:val="16"/>
          <w:szCs w:val="16"/>
          <w:u w:val="single"/>
        </w:rPr>
        <w:t>zonas libres y de baja prevalencia enfermedades animales - erradicación de brucelosis y tuberculosis</w:t>
      </w:r>
    </w:p>
    <w:p w:rsidR="00676350" w:rsidRDefault="008F1B7D" w:rsidP="00676350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8F1B7D">
        <w:rPr>
          <w:rFonts w:ascii="Trebuchet MS" w:hAnsi="Trebuchet MS"/>
          <w:sz w:val="16"/>
          <w:szCs w:val="16"/>
        </w:rPr>
        <w:t>control técnico a las semillas, bioseguridad y derechos de obtentor</w:t>
      </w:r>
      <w:r>
        <w:rPr>
          <w:rFonts w:ascii="Trebuchet MS" w:hAnsi="Trebuchet MS"/>
          <w:sz w:val="16"/>
          <w:szCs w:val="16"/>
        </w:rPr>
        <w:t xml:space="preserve">, </w:t>
      </w:r>
      <w:r w:rsidRPr="008F1B7D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8F1B7D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país, </w:t>
      </w:r>
      <w:r w:rsidRPr="008F1B7D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>
        <w:rPr>
          <w:rFonts w:ascii="Trebuchet MS" w:hAnsi="Trebuchet MS"/>
          <w:sz w:val="16"/>
          <w:szCs w:val="16"/>
        </w:rPr>
        <w:t xml:space="preserve"> y </w:t>
      </w:r>
      <w:r w:rsidRPr="008F1B7D">
        <w:rPr>
          <w:rFonts w:ascii="Trebuchet MS" w:hAnsi="Trebuchet MS"/>
          <w:sz w:val="16"/>
          <w:szCs w:val="16"/>
        </w:rPr>
        <w:t>programa de vigilancia fitosanitaria forestal</w:t>
      </w:r>
      <w:r w:rsidR="00676350">
        <w:rPr>
          <w:rFonts w:ascii="Trebuchet MS" w:hAnsi="Trebuchet MS"/>
          <w:sz w:val="16"/>
          <w:szCs w:val="16"/>
        </w:rPr>
        <w:t>,</w:t>
      </w:r>
      <w:r>
        <w:rPr>
          <w:rFonts w:ascii="Trebuchet MS" w:hAnsi="Trebuchet MS"/>
          <w:sz w:val="16"/>
          <w:szCs w:val="16"/>
        </w:rPr>
        <w:t xml:space="preserve"> </w:t>
      </w:r>
      <w:r w:rsidR="00676350" w:rsidRPr="00210F07">
        <w:rPr>
          <w:rFonts w:ascii="Trebuchet MS" w:hAnsi="Trebuchet MS"/>
          <w:sz w:val="16"/>
          <w:szCs w:val="16"/>
        </w:rPr>
        <w:t>con un porcentaje de cumplimiento del</w:t>
      </w:r>
      <w:r w:rsidR="00676350">
        <w:rPr>
          <w:rFonts w:ascii="Trebuchet MS" w:hAnsi="Trebuchet MS"/>
          <w:sz w:val="16"/>
          <w:szCs w:val="16"/>
        </w:rPr>
        <w:t xml:space="preserve"> 58.4, 83.3, 51.5, 50 y 59.8% respectivamente, </w:t>
      </w:r>
      <w:r w:rsidR="00676350" w:rsidRPr="00210F07">
        <w:rPr>
          <w:rFonts w:ascii="Trebuchet MS" w:hAnsi="Trebuchet MS"/>
          <w:sz w:val="16"/>
          <w:szCs w:val="16"/>
        </w:rPr>
        <w:t>alcanzando así  un</w:t>
      </w:r>
      <w:r w:rsidR="00676350">
        <w:rPr>
          <w:rFonts w:ascii="Trebuchet MS" w:hAnsi="Trebuchet MS"/>
          <w:sz w:val="16"/>
          <w:szCs w:val="16"/>
        </w:rPr>
        <w:t xml:space="preserve"> 49.4% </w:t>
      </w:r>
      <w:r w:rsidR="00676350" w:rsidRPr="00210F07">
        <w:rPr>
          <w:rFonts w:ascii="Trebuchet MS" w:hAnsi="Trebuchet MS"/>
          <w:sz w:val="16"/>
          <w:szCs w:val="16"/>
        </w:rPr>
        <w:t>en su Plan de Acción.</w:t>
      </w:r>
    </w:p>
    <w:p w:rsidR="00676350" w:rsidRDefault="00676350" w:rsidP="00676350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destaca </w:t>
      </w:r>
      <w:r w:rsidRPr="00676350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 fluvial, área o terrestre</w:t>
      </w:r>
      <w:r>
        <w:rPr>
          <w:rFonts w:ascii="Trebuchet MS" w:hAnsi="Trebuchet MS"/>
          <w:sz w:val="16"/>
          <w:szCs w:val="16"/>
        </w:rPr>
        <w:t xml:space="preserve"> y </w:t>
      </w:r>
      <w:r w:rsidRPr="00676350">
        <w:rPr>
          <w:rFonts w:ascii="Trebuchet MS" w:hAnsi="Trebuchet MS"/>
          <w:sz w:val="16"/>
          <w:szCs w:val="16"/>
        </w:rPr>
        <w:t>certificar el estado sanitario y fitosanitario de las exportaciones agropecuarias para contribuir con el mantenimiento de la admisibilidad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62.1 y 55%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58.5.4%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676350" w:rsidRDefault="00676350" w:rsidP="00676350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 w:rsidR="00CE616D">
        <w:rPr>
          <w:rFonts w:ascii="Trebuchet MS" w:hAnsi="Trebuchet MS"/>
          <w:sz w:val="16"/>
          <w:szCs w:val="16"/>
        </w:rPr>
        <w:t>se destaca</w:t>
      </w:r>
      <w:r>
        <w:rPr>
          <w:rFonts w:ascii="Trebuchet MS" w:hAnsi="Trebuchet MS"/>
          <w:sz w:val="16"/>
          <w:szCs w:val="16"/>
        </w:rPr>
        <w:t xml:space="preserve"> </w:t>
      </w:r>
      <w:r w:rsidRPr="00676350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58.1%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58.1%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676350" w:rsidRDefault="00676350" w:rsidP="00676350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676350" w:rsidRDefault="001571F8" w:rsidP="001571F8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3A56D35E" wp14:editId="61F256F2">
            <wp:extent cx="5613621" cy="1574358"/>
            <wp:effectExtent l="0" t="0" r="25400" b="2603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611A1F" w:rsidRDefault="00676350" w:rsidP="00611A1F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  <w:r w:rsidR="00611A1F"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 w:rsidR="00611A1F">
        <w:rPr>
          <w:rFonts w:ascii="Trebuchet MS" w:hAnsi="Trebuchet MS"/>
          <w:sz w:val="16"/>
          <w:szCs w:val="16"/>
        </w:rPr>
        <w:t>Se</w:t>
      </w:r>
      <w:r w:rsidR="00611A1F" w:rsidRPr="00210F07">
        <w:rPr>
          <w:rFonts w:ascii="Trebuchet MS" w:hAnsi="Trebuchet MS"/>
          <w:sz w:val="16"/>
          <w:szCs w:val="16"/>
        </w:rPr>
        <w:t>mestre en cuanto a las metas d</w:t>
      </w:r>
      <w:r w:rsidR="00611A1F">
        <w:rPr>
          <w:rFonts w:ascii="Trebuchet MS" w:hAnsi="Trebuchet MS"/>
          <w:sz w:val="16"/>
          <w:szCs w:val="16"/>
        </w:rPr>
        <w:t>el Plan de acción y lo comprometido</w:t>
      </w:r>
      <w:r w:rsidR="00611A1F"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676350" w:rsidRDefault="00611A1F" w:rsidP="00611A1F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031385E3" wp14:editId="76EC4D56">
            <wp:extent cx="5613621" cy="1987826"/>
            <wp:effectExtent l="0" t="0" r="25400" b="1270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5F1259" w:rsidRDefault="005F1259" w:rsidP="005F1259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AMAZONAS</w:t>
      </w:r>
    </w:p>
    <w:p w:rsidR="00C146B2" w:rsidRDefault="005F1259" w:rsidP="00C146B2">
      <w:pPr>
        <w:jc w:val="both"/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 w:rsidR="00C146B2">
        <w:rPr>
          <w:rFonts w:ascii="Trebuchet MS" w:hAnsi="Trebuchet MS"/>
          <w:sz w:val="16"/>
          <w:szCs w:val="16"/>
        </w:rPr>
        <w:t>Amazonas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C146B2">
        <w:rPr>
          <w:rFonts w:ascii="Trebuchet MS" w:hAnsi="Trebuchet MS"/>
          <w:sz w:val="16"/>
          <w:szCs w:val="16"/>
        </w:rPr>
        <w:t>31.9%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="00C146B2">
        <w:rPr>
          <w:rFonts w:ascii="Trebuchet MS" w:hAnsi="Trebuchet MS"/>
          <w:sz w:val="16"/>
          <w:szCs w:val="16"/>
        </w:rPr>
        <w:t xml:space="preserve"> No tienen ponderación, línea Base y meta en las siguientes acciones estratégicas </w:t>
      </w:r>
      <w:r w:rsidR="00C146B2" w:rsidRPr="00C146B2">
        <w:rPr>
          <w:rFonts w:ascii="Trebuchet MS" w:hAnsi="Trebuchet MS"/>
          <w:sz w:val="16"/>
          <w:szCs w:val="16"/>
        </w:rPr>
        <w:t>zonas libres y de baja prevalencia enfermedades animales - erradicación de brucelosis y tuberculosis</w:t>
      </w:r>
    </w:p>
    <w:p w:rsidR="008F1B7D" w:rsidRDefault="005F1259" w:rsidP="005F1259">
      <w:pPr>
        <w:jc w:val="both"/>
        <w:rPr>
          <w:rFonts w:ascii="Trebuchet MS" w:hAnsi="Trebuchet MS"/>
          <w:b/>
          <w:sz w:val="28"/>
          <w:szCs w:val="28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5F1259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 y </w:t>
      </w:r>
      <w:r w:rsidRPr="005F1259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>les especies agrícolas del país</w:t>
      </w:r>
      <w:r w:rsidR="00C146B2">
        <w:rPr>
          <w:rFonts w:ascii="Trebuchet MS" w:hAnsi="Trebuchet MS"/>
          <w:sz w:val="16"/>
          <w:szCs w:val="16"/>
        </w:rPr>
        <w:t xml:space="preserve">, </w:t>
      </w:r>
      <w:r w:rsidR="00C146B2" w:rsidRPr="00210F07">
        <w:rPr>
          <w:rFonts w:ascii="Trebuchet MS" w:hAnsi="Trebuchet MS"/>
          <w:sz w:val="16"/>
          <w:szCs w:val="16"/>
        </w:rPr>
        <w:t>con un porcentaje de cumplimiento del</w:t>
      </w:r>
      <w:r w:rsidR="00C146B2">
        <w:rPr>
          <w:rFonts w:ascii="Trebuchet MS" w:hAnsi="Trebuchet MS"/>
          <w:sz w:val="16"/>
          <w:szCs w:val="16"/>
        </w:rPr>
        <w:t xml:space="preserve"> 68.9 y 55.6% respectivamente, </w:t>
      </w:r>
      <w:r w:rsidR="00C146B2" w:rsidRPr="00210F07">
        <w:rPr>
          <w:rFonts w:ascii="Trebuchet MS" w:hAnsi="Trebuchet MS"/>
          <w:sz w:val="16"/>
          <w:szCs w:val="16"/>
        </w:rPr>
        <w:t>alcanzando así  un</w:t>
      </w:r>
      <w:r w:rsidR="00C146B2">
        <w:rPr>
          <w:rFonts w:ascii="Trebuchet MS" w:hAnsi="Trebuchet MS"/>
          <w:sz w:val="16"/>
          <w:szCs w:val="16"/>
        </w:rPr>
        <w:t xml:space="preserve"> 48.2% </w:t>
      </w:r>
      <w:r w:rsidR="00C146B2" w:rsidRPr="00210F07">
        <w:rPr>
          <w:rFonts w:ascii="Trebuchet MS" w:hAnsi="Trebuchet MS"/>
          <w:sz w:val="16"/>
          <w:szCs w:val="16"/>
        </w:rPr>
        <w:t>en su Plan de Acción.</w:t>
      </w:r>
    </w:p>
    <w:p w:rsidR="00C94548" w:rsidRDefault="00C146B2" w:rsidP="00C146B2">
      <w:pPr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recalca </w:t>
      </w:r>
      <w:r w:rsidRPr="00C146B2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 fluvial, área o terrestre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35%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29.4%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C146B2" w:rsidRDefault="00C146B2" w:rsidP="00C146B2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C94548" w:rsidRDefault="00C146B2" w:rsidP="0061605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34468551" wp14:editId="1D38C8AA">
            <wp:extent cx="5613621" cy="2385392"/>
            <wp:effectExtent l="0" t="0" r="25400" b="1524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7637CA" w:rsidRDefault="007637CA" w:rsidP="007637C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C94548" w:rsidRDefault="007637CA" w:rsidP="0061605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02D436D8" wp14:editId="4EC11122">
            <wp:extent cx="5613621" cy="2544418"/>
            <wp:effectExtent l="0" t="0" r="25400" b="2794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3D0D99" w:rsidRDefault="003D0D99" w:rsidP="003D0D99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GUAINIA</w:t>
      </w:r>
    </w:p>
    <w:p w:rsidR="003D0D99" w:rsidRDefault="003D0D99" w:rsidP="003D0D99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 w:rsidR="0079339F">
        <w:rPr>
          <w:rFonts w:ascii="Trebuchet MS" w:hAnsi="Trebuchet MS"/>
          <w:sz w:val="16"/>
          <w:szCs w:val="16"/>
        </w:rPr>
        <w:t>Guainia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40.6%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="00D77E1B" w:rsidRPr="00D77E1B">
        <w:rPr>
          <w:rFonts w:ascii="Trebuchet MS" w:hAnsi="Trebuchet MS"/>
          <w:sz w:val="18"/>
          <w:szCs w:val="18"/>
        </w:rPr>
        <w:t xml:space="preserve">zonas libres y baja prevalencia enfermedades animales - fiebre aftosa, zonas libres y de baja prevalencia enfermedades animales   - </w:t>
      </w:r>
      <w:r w:rsidR="00D77E1B">
        <w:rPr>
          <w:rFonts w:ascii="Trebuchet MS" w:hAnsi="Trebuchet MS"/>
          <w:sz w:val="18"/>
          <w:szCs w:val="18"/>
        </w:rPr>
        <w:t>PPC</w:t>
      </w:r>
      <w:r w:rsidR="00D77E1B" w:rsidRPr="00D77E1B">
        <w:rPr>
          <w:rFonts w:ascii="Trebuchet MS" w:hAnsi="Trebuchet MS"/>
          <w:sz w:val="18"/>
          <w:szCs w:val="18"/>
        </w:rPr>
        <w:t xml:space="preserve"> y sistema de información y vigilancia epidemiológica animal</w:t>
      </w:r>
      <w:r w:rsidR="00D77E1B">
        <w:rPr>
          <w:rFonts w:ascii="Trebuchet MS" w:hAnsi="Trebuchet MS"/>
          <w:sz w:val="18"/>
          <w:szCs w:val="18"/>
        </w:rPr>
        <w:t xml:space="preserve">, </w:t>
      </w:r>
      <w:r w:rsidR="00D77E1B" w:rsidRPr="00210F07">
        <w:rPr>
          <w:rFonts w:ascii="Trebuchet MS" w:hAnsi="Trebuchet MS"/>
          <w:sz w:val="16"/>
          <w:szCs w:val="16"/>
        </w:rPr>
        <w:t>con un porcentaje de cumplimiento del</w:t>
      </w:r>
      <w:r w:rsidR="00D77E1B">
        <w:rPr>
          <w:rFonts w:ascii="Trebuchet MS" w:hAnsi="Trebuchet MS"/>
          <w:sz w:val="16"/>
          <w:szCs w:val="16"/>
        </w:rPr>
        <w:t xml:space="preserve"> 60, 65 y 67% respectivamente, </w:t>
      </w:r>
      <w:r w:rsidR="00D77E1B" w:rsidRPr="00210F07">
        <w:rPr>
          <w:rFonts w:ascii="Trebuchet MS" w:hAnsi="Trebuchet MS"/>
          <w:sz w:val="16"/>
          <w:szCs w:val="16"/>
        </w:rPr>
        <w:t>alcanzando así  un</w:t>
      </w:r>
      <w:r w:rsidR="00D77E1B">
        <w:rPr>
          <w:rFonts w:ascii="Trebuchet MS" w:hAnsi="Trebuchet MS"/>
          <w:sz w:val="16"/>
          <w:szCs w:val="16"/>
        </w:rPr>
        <w:t xml:space="preserve"> 38% </w:t>
      </w:r>
      <w:r w:rsidR="00D77E1B" w:rsidRPr="00210F07">
        <w:rPr>
          <w:rFonts w:ascii="Trebuchet MS" w:hAnsi="Trebuchet MS"/>
          <w:sz w:val="16"/>
          <w:szCs w:val="16"/>
        </w:rPr>
        <w:t>en su Plan de Acción.</w:t>
      </w:r>
    </w:p>
    <w:p w:rsidR="003D0D99" w:rsidRDefault="003D0D99" w:rsidP="003D0D9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3D0D99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 y </w:t>
      </w:r>
      <w:r w:rsidRPr="003D0D99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63.3 y 38%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43.2%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3D0D99" w:rsidRDefault="003D0D99" w:rsidP="003D0D9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3D0D99" w:rsidRDefault="00D77E1B" w:rsidP="00D77E1B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578EA7A4" wp14:editId="5D0185DE">
            <wp:extent cx="5613621" cy="2417197"/>
            <wp:effectExtent l="0" t="0" r="25400" b="2159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79339F" w:rsidRDefault="0079339F" w:rsidP="0079339F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C94548" w:rsidRDefault="0079339F" w:rsidP="0061605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2EECCB49" wp14:editId="15E20A00">
            <wp:extent cx="5505450" cy="2743200"/>
            <wp:effectExtent l="0" t="0" r="19050" b="1905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A655F8" w:rsidRDefault="00A655F8" w:rsidP="00A655F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VICHADA</w:t>
      </w:r>
    </w:p>
    <w:p w:rsidR="00AE2FF8" w:rsidRDefault="00A655F8" w:rsidP="00AE2FF8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 w:rsidR="00AE2FF8">
        <w:rPr>
          <w:rFonts w:ascii="Trebuchet MS" w:hAnsi="Trebuchet MS"/>
          <w:sz w:val="16"/>
          <w:szCs w:val="16"/>
        </w:rPr>
        <w:t>Vichada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39.4%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AE2FF8">
        <w:rPr>
          <w:rFonts w:ascii="Trebuchet MS" w:hAnsi="Trebuchet MS"/>
          <w:sz w:val="16"/>
          <w:szCs w:val="16"/>
        </w:rPr>
        <w:t xml:space="preserve"> </w:t>
      </w:r>
      <w:r w:rsidR="00AE2FF8" w:rsidRPr="00AE2FF8">
        <w:rPr>
          <w:rFonts w:ascii="Trebuchet MS" w:hAnsi="Trebuchet MS"/>
          <w:sz w:val="18"/>
          <w:szCs w:val="18"/>
        </w:rPr>
        <w:t xml:space="preserve">zonas libres y baja prevalencia enfermedades animales - fiebre aftosa, sistema de información y vigilancia epidemiológica animal y combatir </w:t>
      </w:r>
      <w:r w:rsidR="00032030" w:rsidRPr="00AE2FF8">
        <w:rPr>
          <w:rFonts w:ascii="Trebuchet MS" w:hAnsi="Trebuchet MS"/>
          <w:sz w:val="18"/>
          <w:szCs w:val="18"/>
        </w:rPr>
        <w:t>insumos agropecuarios ilegales</w:t>
      </w:r>
      <w:r w:rsidR="00AE2FF8" w:rsidRPr="00AE2FF8">
        <w:rPr>
          <w:rFonts w:ascii="Trebuchet MS" w:hAnsi="Trebuchet MS"/>
          <w:sz w:val="18"/>
          <w:szCs w:val="18"/>
        </w:rPr>
        <w:t xml:space="preserve"> y formalización productores</w:t>
      </w:r>
      <w:r w:rsidR="00AE2FF8">
        <w:rPr>
          <w:rFonts w:ascii="Trebuchet MS" w:hAnsi="Trebuchet MS"/>
          <w:sz w:val="18"/>
          <w:szCs w:val="18"/>
        </w:rPr>
        <w:t xml:space="preserve">, </w:t>
      </w:r>
      <w:r w:rsidR="00AE2FF8" w:rsidRPr="00210F07">
        <w:rPr>
          <w:rFonts w:ascii="Trebuchet MS" w:hAnsi="Trebuchet MS"/>
          <w:sz w:val="16"/>
          <w:szCs w:val="16"/>
        </w:rPr>
        <w:t>con un porcentaje de cumplimiento del</w:t>
      </w:r>
      <w:r w:rsidR="00AE2FF8">
        <w:rPr>
          <w:rFonts w:ascii="Trebuchet MS" w:hAnsi="Trebuchet MS"/>
          <w:sz w:val="16"/>
          <w:szCs w:val="16"/>
        </w:rPr>
        <w:t xml:space="preserve"> 62, 58 y 98% respectivamente, </w:t>
      </w:r>
      <w:r w:rsidR="00AE2FF8" w:rsidRPr="00210F07">
        <w:rPr>
          <w:rFonts w:ascii="Trebuchet MS" w:hAnsi="Trebuchet MS"/>
          <w:sz w:val="16"/>
          <w:szCs w:val="16"/>
        </w:rPr>
        <w:t>alcanzando así  un</w:t>
      </w:r>
      <w:r w:rsidR="00AE2FF8">
        <w:rPr>
          <w:rFonts w:ascii="Trebuchet MS" w:hAnsi="Trebuchet MS"/>
          <w:sz w:val="16"/>
          <w:szCs w:val="16"/>
        </w:rPr>
        <w:t xml:space="preserve"> 45% </w:t>
      </w:r>
      <w:r w:rsidR="00AE2FF8" w:rsidRPr="00210F07">
        <w:rPr>
          <w:rFonts w:ascii="Trebuchet MS" w:hAnsi="Trebuchet MS"/>
          <w:sz w:val="16"/>
          <w:szCs w:val="16"/>
        </w:rPr>
        <w:t>en su Plan de Acción.</w:t>
      </w:r>
    </w:p>
    <w:p w:rsidR="00A655F8" w:rsidRDefault="00A655F8" w:rsidP="00A655F8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A655F8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 y </w:t>
      </w:r>
      <w:r w:rsidRPr="00A655F8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47.2 y 100%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33.8%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A655F8" w:rsidRDefault="00A655F8" w:rsidP="00A655F8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A655F8" w:rsidRDefault="00AE2FF8" w:rsidP="00A655F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37001EFF" wp14:editId="377A814E">
            <wp:extent cx="5526156" cy="2369489"/>
            <wp:effectExtent l="0" t="0" r="17780" b="12065"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032030" w:rsidRDefault="00032030" w:rsidP="00032030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C94548" w:rsidRDefault="00032030" w:rsidP="0061605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6250F46B" wp14:editId="4501AAF2">
            <wp:extent cx="5534025" cy="2743200"/>
            <wp:effectExtent l="0" t="0" r="9525" b="19050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7F2A9A" w:rsidRDefault="007F2A9A" w:rsidP="007F2A9A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CESAR</w:t>
      </w:r>
    </w:p>
    <w:p w:rsidR="004143E1" w:rsidRDefault="007F2A9A" w:rsidP="004143E1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Cesar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5F3BC8">
        <w:rPr>
          <w:rFonts w:ascii="Trebuchet MS" w:hAnsi="Trebuchet MS"/>
          <w:sz w:val="16"/>
          <w:szCs w:val="16"/>
        </w:rPr>
        <w:t>35.7%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5F3BC8">
        <w:rPr>
          <w:rFonts w:ascii="Trebuchet MS" w:hAnsi="Trebuchet MS"/>
          <w:sz w:val="16"/>
          <w:szCs w:val="16"/>
        </w:rPr>
        <w:t xml:space="preserve"> </w:t>
      </w:r>
      <w:r w:rsidR="004143E1" w:rsidRPr="004143E1">
        <w:rPr>
          <w:rFonts w:ascii="Trebuchet MS" w:hAnsi="Trebuchet MS"/>
          <w:sz w:val="18"/>
          <w:szCs w:val="18"/>
        </w:rPr>
        <w:t>combatir insumos agropecuarios ilegales y formalización productores, sistema de información y vigilancia epidemiológica an</w:t>
      </w:r>
      <w:r w:rsidR="004143E1">
        <w:rPr>
          <w:rFonts w:ascii="Trebuchet MS" w:hAnsi="Trebuchet MS"/>
          <w:sz w:val="18"/>
          <w:szCs w:val="18"/>
        </w:rPr>
        <w:t xml:space="preserve">imal, </w:t>
      </w:r>
      <w:r w:rsidR="004143E1" w:rsidRPr="00210F07">
        <w:rPr>
          <w:rFonts w:ascii="Trebuchet MS" w:hAnsi="Trebuchet MS"/>
          <w:sz w:val="16"/>
          <w:szCs w:val="16"/>
        </w:rPr>
        <w:t>con un porcentaje de cumplimiento del</w:t>
      </w:r>
      <w:r w:rsidR="004143E1">
        <w:rPr>
          <w:rFonts w:ascii="Trebuchet MS" w:hAnsi="Trebuchet MS"/>
          <w:sz w:val="16"/>
          <w:szCs w:val="16"/>
        </w:rPr>
        <w:t xml:space="preserve"> 61 y 52% respectivamente, </w:t>
      </w:r>
      <w:r w:rsidR="004143E1" w:rsidRPr="00210F07">
        <w:rPr>
          <w:rFonts w:ascii="Trebuchet MS" w:hAnsi="Trebuchet MS"/>
          <w:sz w:val="16"/>
          <w:szCs w:val="16"/>
        </w:rPr>
        <w:t>alcanzando así  un</w:t>
      </w:r>
      <w:r w:rsidR="004143E1">
        <w:rPr>
          <w:rFonts w:ascii="Trebuchet MS" w:hAnsi="Trebuchet MS"/>
          <w:sz w:val="16"/>
          <w:szCs w:val="16"/>
        </w:rPr>
        <w:t xml:space="preserve"> 36% </w:t>
      </w:r>
      <w:r w:rsidR="004143E1" w:rsidRPr="00210F07">
        <w:rPr>
          <w:rFonts w:ascii="Trebuchet MS" w:hAnsi="Trebuchet MS"/>
          <w:sz w:val="16"/>
          <w:szCs w:val="16"/>
        </w:rPr>
        <w:t>en su Plan de Acción.</w:t>
      </w:r>
    </w:p>
    <w:p w:rsidR="007F2A9A" w:rsidRDefault="007F2A9A" w:rsidP="007F2A9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7F2A9A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 y </w:t>
      </w:r>
      <w:r w:rsidRPr="007F2A9A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41.5 y 50.8%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33%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7F2A9A" w:rsidRDefault="007F2A9A" w:rsidP="007F2A9A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destaca </w:t>
      </w:r>
      <w:r w:rsidRPr="007F2A9A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50.6%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38%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7F2A9A" w:rsidRDefault="007F2A9A" w:rsidP="007F2A9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7F2A9A" w:rsidRDefault="005F3BC8" w:rsidP="005F3BC8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2BAC7B8A" wp14:editId="4369058D">
            <wp:extent cx="5613621" cy="2512612"/>
            <wp:effectExtent l="0" t="0" r="25400" b="21590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4143E1" w:rsidRDefault="004143E1" w:rsidP="004143E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4143E1" w:rsidRDefault="004143E1" w:rsidP="004143E1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3A3B3472" wp14:editId="1F72E03F">
            <wp:extent cx="5581815" cy="2115047"/>
            <wp:effectExtent l="0" t="0" r="19050" b="19050"/>
            <wp:docPr id="48" name="Grá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7F2A9A" w:rsidRDefault="007F2A9A" w:rsidP="007F2A9A">
      <w:pPr>
        <w:jc w:val="both"/>
        <w:rPr>
          <w:rFonts w:ascii="Trebuchet MS" w:hAnsi="Trebuchet MS"/>
          <w:b/>
          <w:sz w:val="28"/>
          <w:szCs w:val="28"/>
        </w:rPr>
      </w:pPr>
    </w:p>
    <w:p w:rsidR="008447BB" w:rsidRDefault="008447BB" w:rsidP="008447BB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SANTANDER</w:t>
      </w:r>
    </w:p>
    <w:p w:rsidR="00B869E3" w:rsidRDefault="00B869E3" w:rsidP="00A841D6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Santander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39.1%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Pr="00B869E3">
        <w:rPr>
          <w:rFonts w:ascii="Trebuchet MS" w:hAnsi="Trebuchet MS"/>
          <w:sz w:val="18"/>
          <w:szCs w:val="18"/>
        </w:rPr>
        <w:t>zonas libres y baja prevalencia enfermedades animales - fiebre aftosa y zonas libres y de baja prevalencia enfermedades animales - erradicación de brucelosis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67 y 100% </w:t>
      </w:r>
      <w:r w:rsidR="00BE1CC0">
        <w:rPr>
          <w:rFonts w:ascii="Trebuchet MS" w:hAnsi="Trebuchet MS"/>
          <w:sz w:val="16"/>
          <w:szCs w:val="16"/>
        </w:rPr>
        <w:t xml:space="preserve">respectivamente, </w:t>
      </w:r>
      <w:r w:rsidR="00BE1CC0" w:rsidRPr="00210F07">
        <w:rPr>
          <w:rFonts w:ascii="Trebuchet MS" w:hAnsi="Trebuchet MS"/>
          <w:sz w:val="16"/>
          <w:szCs w:val="16"/>
        </w:rPr>
        <w:t>alcanzando así  un</w:t>
      </w:r>
      <w:r w:rsidR="00BE1CC0">
        <w:rPr>
          <w:rFonts w:ascii="Trebuchet MS" w:hAnsi="Trebuchet MS"/>
          <w:sz w:val="16"/>
          <w:szCs w:val="16"/>
        </w:rPr>
        <w:t xml:space="preserve"> 55% </w:t>
      </w:r>
      <w:r w:rsidR="00BE1CC0" w:rsidRPr="00210F07">
        <w:rPr>
          <w:rFonts w:ascii="Trebuchet MS" w:hAnsi="Trebuchet MS"/>
          <w:sz w:val="16"/>
          <w:szCs w:val="16"/>
        </w:rPr>
        <w:t>en su Plan de Acción.</w:t>
      </w:r>
    </w:p>
    <w:p w:rsidR="00BE1CC0" w:rsidRDefault="00BE1CC0" w:rsidP="00A841D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BE1CC0">
        <w:rPr>
          <w:rFonts w:ascii="Trebuchet MS" w:hAnsi="Trebuchet MS"/>
          <w:sz w:val="16"/>
          <w:szCs w:val="16"/>
        </w:rPr>
        <w:t>control técnico a las semillas, bioseguridad y derechos de obtentor</w:t>
      </w:r>
      <w:r>
        <w:rPr>
          <w:rFonts w:ascii="Trebuchet MS" w:hAnsi="Trebuchet MS"/>
          <w:sz w:val="16"/>
          <w:szCs w:val="16"/>
        </w:rPr>
        <w:t xml:space="preserve">, </w:t>
      </w:r>
      <w:r w:rsidRPr="00BE1CC0">
        <w:rPr>
          <w:rFonts w:ascii="Trebuchet MS" w:hAnsi="Trebuchet MS"/>
          <w:sz w:val="16"/>
          <w:szCs w:val="16"/>
        </w:rPr>
        <w:t>vigilancia de plagas de control oficial, estatus fitosanitario y registros</w:t>
      </w:r>
      <w:r>
        <w:rPr>
          <w:rFonts w:ascii="Trebuchet MS" w:hAnsi="Trebuchet MS"/>
          <w:sz w:val="16"/>
          <w:szCs w:val="16"/>
        </w:rPr>
        <w:t xml:space="preserve">, </w:t>
      </w:r>
      <w:r w:rsidRPr="00BE1CC0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país, </w:t>
      </w:r>
      <w:r w:rsidRPr="00BE1CC0">
        <w:rPr>
          <w:rFonts w:ascii="Trebuchet MS" w:hAnsi="Trebuchet MS"/>
          <w:sz w:val="16"/>
          <w:szCs w:val="16"/>
        </w:rPr>
        <w:t>vigilancia y manejo de pc en cultivos de palma de aceite</w:t>
      </w:r>
      <w:r>
        <w:rPr>
          <w:rFonts w:ascii="Trebuchet MS" w:hAnsi="Trebuchet MS"/>
          <w:sz w:val="16"/>
          <w:szCs w:val="16"/>
        </w:rPr>
        <w:t xml:space="preserve"> y </w:t>
      </w:r>
      <w:r w:rsidRPr="00BE1CC0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53.4, 56.7, 59.3, 51.6 y 68%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42.4%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BE1CC0" w:rsidRDefault="00BE1CC0" w:rsidP="00B869E3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recalca </w:t>
      </w:r>
      <w:r w:rsidRPr="00BE1CC0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 fluvial, área o terrestre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41.1%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37.6%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BE1CC0" w:rsidRDefault="00BE1CC0" w:rsidP="00B869E3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destaca </w:t>
      </w:r>
      <w:r w:rsidRPr="00BE1CC0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38.1%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21%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BE1CC0" w:rsidRDefault="00BE1CC0" w:rsidP="00BE1CC0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BE1CC0" w:rsidRDefault="00BE1CC0" w:rsidP="00BE1CC0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7E1C3F84" wp14:editId="327039E2">
            <wp:extent cx="5438693" cy="1948070"/>
            <wp:effectExtent l="0" t="0" r="10160" b="14605"/>
            <wp:docPr id="49" name="Grá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D115B4" w:rsidRDefault="00D115B4" w:rsidP="00D115B4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BE1CC0" w:rsidRDefault="00D115B4" w:rsidP="00D115B4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6F22DB19" wp14:editId="4E46A744">
            <wp:extent cx="5287618" cy="2075291"/>
            <wp:effectExtent l="0" t="0" r="27940" b="20320"/>
            <wp:docPr id="50" name="Grá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433F11" w:rsidRDefault="00433F11" w:rsidP="00433F1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VAUPES</w:t>
      </w:r>
    </w:p>
    <w:p w:rsidR="00433F11" w:rsidRDefault="00553AA9" w:rsidP="00A841D6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6"/>
          <w:szCs w:val="16"/>
        </w:rPr>
        <w:t>T</w:t>
      </w:r>
      <w:r w:rsidR="00433F11" w:rsidRPr="005927C1">
        <w:rPr>
          <w:rFonts w:ascii="Trebuchet MS" w:hAnsi="Trebuchet MS"/>
          <w:sz w:val="16"/>
          <w:szCs w:val="16"/>
        </w:rPr>
        <w:t xml:space="preserve">eniendo en cuenta el avance del Primer Semestre del año vigente, la seccional </w:t>
      </w:r>
      <w:r w:rsidR="00433F11">
        <w:rPr>
          <w:rFonts w:ascii="Trebuchet MS" w:hAnsi="Trebuchet MS"/>
          <w:sz w:val="16"/>
          <w:szCs w:val="16"/>
        </w:rPr>
        <w:t>Vaupes</w:t>
      </w:r>
      <w:r w:rsidR="00433F11"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433F11">
        <w:rPr>
          <w:rFonts w:ascii="Trebuchet MS" w:hAnsi="Trebuchet MS"/>
          <w:sz w:val="16"/>
          <w:szCs w:val="16"/>
        </w:rPr>
        <w:t>19.6%</w:t>
      </w:r>
      <w:r w:rsidR="00433F11"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="00433F11"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 w:rsidR="00433F11">
        <w:rPr>
          <w:rFonts w:ascii="Trebuchet MS" w:hAnsi="Trebuchet MS"/>
          <w:sz w:val="16"/>
          <w:szCs w:val="16"/>
        </w:rPr>
        <w:t xml:space="preserve"> </w:t>
      </w:r>
      <w:r w:rsidR="00433F11"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="00433F11"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="00433F11"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433F11">
        <w:rPr>
          <w:rFonts w:ascii="Trebuchet MS" w:hAnsi="Trebuchet MS"/>
          <w:sz w:val="16"/>
          <w:szCs w:val="16"/>
        </w:rPr>
        <w:t xml:space="preserve"> </w:t>
      </w:r>
      <w:r w:rsidR="00433F11" w:rsidRPr="00433F11">
        <w:rPr>
          <w:rFonts w:ascii="Trebuchet MS" w:hAnsi="Trebuchet MS"/>
          <w:sz w:val="18"/>
          <w:szCs w:val="18"/>
        </w:rPr>
        <w:t>sistema de información y vigilancia epidemiológica animal</w:t>
      </w:r>
      <w:r w:rsidR="00433F11">
        <w:rPr>
          <w:rFonts w:ascii="Trebuchet MS" w:hAnsi="Trebuchet MS"/>
          <w:sz w:val="18"/>
          <w:szCs w:val="18"/>
        </w:rPr>
        <w:t xml:space="preserve">, </w:t>
      </w:r>
      <w:r w:rsidR="00433F11" w:rsidRPr="00210F07">
        <w:rPr>
          <w:rFonts w:ascii="Trebuchet MS" w:hAnsi="Trebuchet MS"/>
          <w:sz w:val="16"/>
          <w:szCs w:val="16"/>
        </w:rPr>
        <w:t>con un porcentaje de cumplimiento del</w:t>
      </w:r>
      <w:r w:rsidR="00433F11">
        <w:rPr>
          <w:rFonts w:ascii="Trebuchet MS" w:hAnsi="Trebuchet MS"/>
          <w:sz w:val="16"/>
          <w:szCs w:val="16"/>
        </w:rPr>
        <w:t xml:space="preserve"> 71% respectivamente, </w:t>
      </w:r>
      <w:r w:rsidR="00433F11" w:rsidRPr="00210F07">
        <w:rPr>
          <w:rFonts w:ascii="Trebuchet MS" w:hAnsi="Trebuchet MS"/>
          <w:sz w:val="16"/>
          <w:szCs w:val="16"/>
        </w:rPr>
        <w:t>alcanzando así  un</w:t>
      </w:r>
      <w:r w:rsidR="00433F11">
        <w:rPr>
          <w:rFonts w:ascii="Trebuchet MS" w:hAnsi="Trebuchet MS"/>
          <w:sz w:val="16"/>
          <w:szCs w:val="16"/>
        </w:rPr>
        <w:t xml:space="preserve"> 17% </w:t>
      </w:r>
      <w:r w:rsidR="00433F11" w:rsidRPr="00210F07">
        <w:rPr>
          <w:rFonts w:ascii="Trebuchet MS" w:hAnsi="Trebuchet MS"/>
          <w:sz w:val="16"/>
          <w:szCs w:val="16"/>
        </w:rPr>
        <w:t>en su Plan de Acción.</w:t>
      </w:r>
      <w:r w:rsidR="00433F11">
        <w:rPr>
          <w:rFonts w:ascii="Trebuchet MS" w:hAnsi="Trebuchet MS"/>
          <w:sz w:val="18"/>
          <w:szCs w:val="18"/>
        </w:rPr>
        <w:t xml:space="preserve"> Cabe resaltar que esta seccional no tienen ponderación, meta ni línea base en las siguientes acciones estratégicas zonas libres y baja prevalencia enfermedades animales – erradicación de Brucelosis y tuberculosis.</w:t>
      </w:r>
    </w:p>
    <w:p w:rsidR="00746ADD" w:rsidRDefault="00746ADD" w:rsidP="00A841D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746ADD">
        <w:rPr>
          <w:rFonts w:ascii="Trebuchet MS" w:hAnsi="Trebuchet MS"/>
          <w:sz w:val="16"/>
          <w:szCs w:val="16"/>
        </w:rPr>
        <w:t>protección fitosanitaria sobre las principales especies agrícolas del país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54.9%  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22.1%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746ADD" w:rsidRDefault="00746ADD" w:rsidP="00746ADD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746ADD" w:rsidRPr="00433F11" w:rsidRDefault="00746ADD" w:rsidP="00746ADD">
      <w:pPr>
        <w:jc w:val="center"/>
        <w:rPr>
          <w:rFonts w:ascii="Trebuchet MS" w:hAnsi="Trebuchet MS"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52CD641F" wp14:editId="4CECEC24">
            <wp:extent cx="5565913" cy="2218414"/>
            <wp:effectExtent l="0" t="0" r="15875" b="10795"/>
            <wp:docPr id="51" name="Gráfico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746ADD" w:rsidRDefault="00746ADD" w:rsidP="00746ADD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433F11" w:rsidRDefault="00746ADD" w:rsidP="00746ADD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13D56B15" wp14:editId="43929EB8">
            <wp:extent cx="5286375" cy="2743200"/>
            <wp:effectExtent l="0" t="0" r="9525" b="19050"/>
            <wp:docPr id="52" name="Gráfico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433F11" w:rsidRDefault="00433F11" w:rsidP="00616051">
      <w:pPr>
        <w:jc w:val="center"/>
        <w:rPr>
          <w:rFonts w:ascii="Trebuchet MS" w:hAnsi="Trebuchet MS"/>
          <w:b/>
          <w:sz w:val="28"/>
          <w:szCs w:val="28"/>
        </w:rPr>
      </w:pPr>
    </w:p>
    <w:p w:rsidR="00A841D6" w:rsidRDefault="00A841D6" w:rsidP="00A841D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MAGDALENA</w:t>
      </w:r>
    </w:p>
    <w:p w:rsidR="00175F50" w:rsidRDefault="00A841D6" w:rsidP="00175F50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Magdalena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175F50">
        <w:rPr>
          <w:rFonts w:ascii="Trebuchet MS" w:hAnsi="Trebuchet MS"/>
          <w:sz w:val="16"/>
          <w:szCs w:val="16"/>
        </w:rPr>
        <w:t>40.8%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 w:rsidR="00175F50">
        <w:rPr>
          <w:rFonts w:ascii="Trebuchet MS" w:hAnsi="Trebuchet MS"/>
          <w:sz w:val="16"/>
          <w:szCs w:val="16"/>
        </w:rPr>
        <w:t xml:space="preserve"> </w:t>
      </w:r>
      <w:r w:rsidR="00175F50" w:rsidRPr="00175F50">
        <w:rPr>
          <w:rFonts w:ascii="Trebuchet MS" w:hAnsi="Trebuchet MS"/>
          <w:sz w:val="18"/>
          <w:szCs w:val="18"/>
        </w:rPr>
        <w:t xml:space="preserve">combatir </w:t>
      </w:r>
      <w:r w:rsidR="00C52197" w:rsidRPr="00175F50">
        <w:rPr>
          <w:rFonts w:ascii="Trebuchet MS" w:hAnsi="Trebuchet MS"/>
          <w:sz w:val="18"/>
          <w:szCs w:val="18"/>
        </w:rPr>
        <w:t>insumos agropecuarios ilegales</w:t>
      </w:r>
      <w:r w:rsidR="00175F50" w:rsidRPr="00175F50">
        <w:rPr>
          <w:rFonts w:ascii="Trebuchet MS" w:hAnsi="Trebuchet MS"/>
          <w:sz w:val="18"/>
          <w:szCs w:val="18"/>
        </w:rPr>
        <w:t xml:space="preserve"> y formalización productores y sistema de información y vigilancia epidemiológica animal</w:t>
      </w:r>
      <w:r w:rsidR="00175F50">
        <w:rPr>
          <w:rFonts w:ascii="Trebuchet MS" w:hAnsi="Trebuchet MS"/>
          <w:sz w:val="18"/>
          <w:szCs w:val="18"/>
        </w:rPr>
        <w:t xml:space="preserve">, </w:t>
      </w:r>
      <w:r w:rsidR="00175F50" w:rsidRPr="00210F07">
        <w:rPr>
          <w:rFonts w:ascii="Trebuchet MS" w:hAnsi="Trebuchet MS"/>
          <w:sz w:val="16"/>
          <w:szCs w:val="16"/>
        </w:rPr>
        <w:t>con un porcentaje de cumplimiento del</w:t>
      </w:r>
      <w:r w:rsidR="00175F50">
        <w:rPr>
          <w:rFonts w:ascii="Trebuchet MS" w:hAnsi="Trebuchet MS"/>
          <w:sz w:val="16"/>
          <w:szCs w:val="16"/>
        </w:rPr>
        <w:t xml:space="preserve"> 74 y 84% respectivamente, </w:t>
      </w:r>
      <w:r w:rsidR="00175F50" w:rsidRPr="00210F07">
        <w:rPr>
          <w:rFonts w:ascii="Trebuchet MS" w:hAnsi="Trebuchet MS"/>
          <w:sz w:val="16"/>
          <w:szCs w:val="16"/>
        </w:rPr>
        <w:t>alcanzando así  un</w:t>
      </w:r>
      <w:r w:rsidR="00175F50">
        <w:rPr>
          <w:rFonts w:ascii="Trebuchet MS" w:hAnsi="Trebuchet MS"/>
          <w:sz w:val="16"/>
          <w:szCs w:val="16"/>
        </w:rPr>
        <w:t xml:space="preserve"> 42% </w:t>
      </w:r>
      <w:r w:rsidR="00175F50" w:rsidRPr="00210F07">
        <w:rPr>
          <w:rFonts w:ascii="Trebuchet MS" w:hAnsi="Trebuchet MS"/>
          <w:sz w:val="16"/>
          <w:szCs w:val="16"/>
        </w:rPr>
        <w:t>en su Plan de Acción.</w:t>
      </w:r>
    </w:p>
    <w:p w:rsidR="00A841D6" w:rsidRDefault="00A841D6" w:rsidP="00A841D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A841D6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A841D6">
        <w:rPr>
          <w:rFonts w:ascii="Trebuchet MS" w:hAnsi="Trebuchet MS"/>
          <w:sz w:val="16"/>
          <w:szCs w:val="16"/>
        </w:rPr>
        <w:t>vigilancia y manejo de pc en cultivos de palma de aceite</w:t>
      </w:r>
      <w:r>
        <w:rPr>
          <w:rFonts w:ascii="Trebuchet MS" w:hAnsi="Trebuchet MS"/>
          <w:sz w:val="16"/>
          <w:szCs w:val="16"/>
        </w:rPr>
        <w:t xml:space="preserve"> y </w:t>
      </w:r>
      <w:r w:rsidRPr="00A841D6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43.3, 55.5 y 41.7%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35.8%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A841D6" w:rsidRDefault="00A841D6" w:rsidP="00A841D6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recalcan </w:t>
      </w:r>
      <w:r w:rsidRPr="00A841D6">
        <w:rPr>
          <w:rFonts w:ascii="Trebuchet MS" w:hAnsi="Trebuchet MS"/>
          <w:sz w:val="16"/>
          <w:szCs w:val="16"/>
        </w:rPr>
        <w:t>certificar el estado sanitario y fitosanitario de las exportaciones agropecuarias para contribuir con el mantenimiento de la admisibilidad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46%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41%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812816" w:rsidRDefault="00A841D6" w:rsidP="00812816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recalca </w:t>
      </w:r>
      <w:r w:rsidRPr="00A841D6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="00812816" w:rsidRPr="00210F07">
        <w:rPr>
          <w:rFonts w:ascii="Trebuchet MS" w:hAnsi="Trebuchet MS"/>
          <w:sz w:val="16"/>
          <w:szCs w:val="16"/>
        </w:rPr>
        <w:t>con un porcentaje de cumplimiento del</w:t>
      </w:r>
      <w:r w:rsidR="00812816">
        <w:rPr>
          <w:rFonts w:ascii="Trebuchet MS" w:hAnsi="Trebuchet MS"/>
          <w:sz w:val="16"/>
          <w:szCs w:val="16"/>
        </w:rPr>
        <w:t xml:space="preserve"> 44% respectivamente, </w:t>
      </w:r>
      <w:r w:rsidR="00812816" w:rsidRPr="00210F07">
        <w:rPr>
          <w:rFonts w:ascii="Trebuchet MS" w:hAnsi="Trebuchet MS"/>
          <w:sz w:val="16"/>
          <w:szCs w:val="16"/>
        </w:rPr>
        <w:t>alcanzando así  un</w:t>
      </w:r>
      <w:r w:rsidR="00812816">
        <w:rPr>
          <w:rFonts w:ascii="Trebuchet MS" w:hAnsi="Trebuchet MS"/>
          <w:sz w:val="16"/>
          <w:szCs w:val="16"/>
        </w:rPr>
        <w:t xml:space="preserve"> 44% </w:t>
      </w:r>
      <w:r w:rsidR="00812816" w:rsidRPr="00210F07">
        <w:rPr>
          <w:rFonts w:ascii="Trebuchet MS" w:hAnsi="Trebuchet MS"/>
          <w:sz w:val="16"/>
          <w:szCs w:val="16"/>
        </w:rPr>
        <w:t>en su Plan de Acción.</w:t>
      </w:r>
    </w:p>
    <w:p w:rsidR="00812816" w:rsidRDefault="00812816" w:rsidP="00812816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812816" w:rsidRDefault="00311FB0" w:rsidP="00812816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70D1B841" wp14:editId="0382AA2A">
            <wp:extent cx="5605670" cy="1932167"/>
            <wp:effectExtent l="0" t="0" r="14605" b="11430"/>
            <wp:docPr id="55" name="Gráfico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593C63" w:rsidRDefault="00593C63" w:rsidP="00593C63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A841D6" w:rsidRDefault="00593C63" w:rsidP="00593C63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0F37C9C1" wp14:editId="426C8B3D">
            <wp:extent cx="5367130" cy="2282025"/>
            <wp:effectExtent l="0" t="0" r="24130" b="23495"/>
            <wp:docPr id="56" name="Gráfico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C52197" w:rsidRDefault="00C52197" w:rsidP="00C52197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BOLIVAR</w:t>
      </w:r>
    </w:p>
    <w:p w:rsidR="00C52197" w:rsidRDefault="00C52197" w:rsidP="00C52197">
      <w:pPr>
        <w:jc w:val="both"/>
        <w:rPr>
          <w:rFonts w:ascii="Trebuchet MS" w:hAnsi="Trebuchet MS"/>
          <w:sz w:val="18"/>
          <w:szCs w:val="18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Bolivar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 w:rsidR="00AF44AE">
        <w:rPr>
          <w:rFonts w:ascii="Trebuchet MS" w:hAnsi="Trebuchet MS"/>
          <w:sz w:val="16"/>
          <w:szCs w:val="16"/>
        </w:rPr>
        <w:t>5</w:t>
      </w:r>
      <w:r w:rsidR="00AA38B9">
        <w:rPr>
          <w:rFonts w:ascii="Trebuchet MS" w:hAnsi="Trebuchet MS"/>
          <w:sz w:val="16"/>
          <w:szCs w:val="16"/>
        </w:rPr>
        <w:t>5</w:t>
      </w:r>
      <w:r w:rsidR="00AF44AE">
        <w:rPr>
          <w:rFonts w:ascii="Trebuchet MS" w:hAnsi="Trebuchet MS"/>
          <w:sz w:val="16"/>
          <w:szCs w:val="16"/>
        </w:rPr>
        <w:t xml:space="preserve">% 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Pr="00C52197">
        <w:rPr>
          <w:rFonts w:ascii="Trebuchet MS" w:hAnsi="Trebuchet MS"/>
          <w:sz w:val="18"/>
          <w:szCs w:val="18"/>
        </w:rPr>
        <w:t xml:space="preserve">zonas libres y baja prevalencia enfermedades animales - fiebre aftosa, zonas libres y de baja prevalencia enfermedades animales   - </w:t>
      </w:r>
      <w:r>
        <w:rPr>
          <w:rFonts w:ascii="Trebuchet MS" w:hAnsi="Trebuchet MS"/>
          <w:sz w:val="18"/>
          <w:szCs w:val="18"/>
        </w:rPr>
        <w:t>PPC</w:t>
      </w:r>
      <w:r w:rsidRPr="00C52197">
        <w:rPr>
          <w:rFonts w:ascii="Trebuchet MS" w:hAnsi="Trebuchet MS"/>
          <w:sz w:val="18"/>
          <w:szCs w:val="18"/>
        </w:rPr>
        <w:t xml:space="preserve"> y control  y erradicación de enfermedades en animales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100, 93 y 84%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52% </w:t>
      </w:r>
      <w:r w:rsidRPr="00210F07">
        <w:rPr>
          <w:rFonts w:ascii="Trebuchet MS" w:hAnsi="Trebuchet MS"/>
          <w:sz w:val="16"/>
          <w:szCs w:val="16"/>
        </w:rPr>
        <w:t>en su Plan de Acción.</w:t>
      </w:r>
      <w:r>
        <w:rPr>
          <w:rFonts w:ascii="Trebuchet MS" w:hAnsi="Trebuchet MS"/>
          <w:sz w:val="18"/>
          <w:szCs w:val="18"/>
        </w:rPr>
        <w:t xml:space="preserve"> </w:t>
      </w:r>
    </w:p>
    <w:p w:rsidR="00AA38B9" w:rsidRDefault="00C52197" w:rsidP="00AA38B9">
      <w:pPr>
        <w:jc w:val="both"/>
        <w:rPr>
          <w:rFonts w:ascii="Trebuchet MS" w:hAnsi="Trebuchet MS"/>
          <w:sz w:val="18"/>
          <w:szCs w:val="18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 w:rsidR="00AF44AE">
        <w:rPr>
          <w:rFonts w:ascii="Trebuchet MS" w:hAnsi="Trebuchet MS"/>
          <w:sz w:val="16"/>
          <w:szCs w:val="16"/>
        </w:rPr>
        <w:t xml:space="preserve">, </w:t>
      </w:r>
      <w:r w:rsidR="00AA38B9">
        <w:rPr>
          <w:rFonts w:ascii="Trebuchet MS" w:hAnsi="Trebuchet MS"/>
          <w:sz w:val="16"/>
          <w:szCs w:val="16"/>
        </w:rPr>
        <w:t xml:space="preserve">se destaca </w:t>
      </w:r>
      <w:r w:rsidR="00AA38B9" w:rsidRPr="00210F07">
        <w:rPr>
          <w:rFonts w:ascii="Trebuchet MS" w:hAnsi="Trebuchet MS"/>
          <w:sz w:val="16"/>
          <w:szCs w:val="16"/>
        </w:rPr>
        <w:t>las Acciones Estratégicas</w:t>
      </w:r>
      <w:r w:rsidR="00AA38B9">
        <w:rPr>
          <w:rFonts w:ascii="Trebuchet MS" w:hAnsi="Trebuchet MS"/>
          <w:sz w:val="16"/>
          <w:szCs w:val="16"/>
        </w:rPr>
        <w:t xml:space="preserve"> de </w:t>
      </w:r>
      <w:r w:rsidR="00AA38B9" w:rsidRPr="00AA38B9">
        <w:rPr>
          <w:rFonts w:ascii="Trebuchet MS" w:hAnsi="Trebuchet MS"/>
          <w:sz w:val="16"/>
          <w:szCs w:val="16"/>
        </w:rPr>
        <w:t>atención oportuna de emergencias fitosanitarias</w:t>
      </w:r>
      <w:r w:rsidR="00AA38B9">
        <w:rPr>
          <w:rFonts w:ascii="Trebuchet MS" w:hAnsi="Trebuchet MS"/>
          <w:sz w:val="16"/>
          <w:szCs w:val="16"/>
        </w:rPr>
        <w:t xml:space="preserve"> y </w:t>
      </w:r>
      <w:r w:rsidR="00AA38B9" w:rsidRPr="00AA38B9">
        <w:rPr>
          <w:rFonts w:ascii="Trebuchet MS" w:hAnsi="Trebuchet MS"/>
          <w:sz w:val="16"/>
          <w:szCs w:val="16"/>
        </w:rPr>
        <w:t>vigilancia y manejo de pc en cultivos de palma de aceite</w:t>
      </w:r>
      <w:r w:rsidR="00AA38B9">
        <w:rPr>
          <w:rFonts w:ascii="Trebuchet MS" w:hAnsi="Trebuchet MS"/>
          <w:sz w:val="16"/>
          <w:szCs w:val="16"/>
        </w:rPr>
        <w:t xml:space="preserve">, </w:t>
      </w:r>
      <w:r w:rsidR="00AA38B9" w:rsidRPr="00210F07">
        <w:rPr>
          <w:rFonts w:ascii="Trebuchet MS" w:hAnsi="Trebuchet MS"/>
          <w:sz w:val="16"/>
          <w:szCs w:val="16"/>
        </w:rPr>
        <w:t>con un porcentaje de cumplimiento del</w:t>
      </w:r>
      <w:r w:rsidR="00AA38B9">
        <w:rPr>
          <w:rFonts w:ascii="Trebuchet MS" w:hAnsi="Trebuchet MS"/>
          <w:sz w:val="16"/>
          <w:szCs w:val="16"/>
        </w:rPr>
        <w:t xml:space="preserve"> 54.4 y 48% respectivamente, </w:t>
      </w:r>
      <w:r w:rsidR="00AA38B9" w:rsidRPr="00210F07">
        <w:rPr>
          <w:rFonts w:ascii="Trebuchet MS" w:hAnsi="Trebuchet MS"/>
          <w:sz w:val="16"/>
          <w:szCs w:val="16"/>
        </w:rPr>
        <w:t>alcanzando así  un</w:t>
      </w:r>
      <w:r w:rsidR="00AA38B9">
        <w:rPr>
          <w:rFonts w:ascii="Trebuchet MS" w:hAnsi="Trebuchet MS"/>
          <w:sz w:val="16"/>
          <w:szCs w:val="16"/>
        </w:rPr>
        <w:t xml:space="preserve"> 24% </w:t>
      </w:r>
      <w:r w:rsidR="00AA38B9" w:rsidRPr="00210F07">
        <w:rPr>
          <w:rFonts w:ascii="Trebuchet MS" w:hAnsi="Trebuchet MS"/>
          <w:sz w:val="16"/>
          <w:szCs w:val="16"/>
        </w:rPr>
        <w:t>en su Plan de Acción.</w:t>
      </w:r>
      <w:r w:rsidR="00AA38B9">
        <w:rPr>
          <w:rFonts w:ascii="Trebuchet MS" w:hAnsi="Trebuchet MS"/>
          <w:sz w:val="18"/>
          <w:szCs w:val="18"/>
        </w:rPr>
        <w:t xml:space="preserve"> </w:t>
      </w:r>
    </w:p>
    <w:p w:rsidR="00CC48C6" w:rsidRDefault="00AA38B9" w:rsidP="00CC48C6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6"/>
          <w:szCs w:val="16"/>
        </w:rPr>
        <w:t xml:space="preserve"> </w:t>
      </w:r>
      <w:r w:rsidR="00CC48C6">
        <w:rPr>
          <w:rFonts w:ascii="Trebuchet MS" w:hAnsi="Trebuchet MS"/>
          <w:sz w:val="16"/>
          <w:szCs w:val="16"/>
        </w:rPr>
        <w:t>Las acciones relacionadas</w:t>
      </w:r>
      <w:r w:rsidR="00CC48C6" w:rsidRPr="00210F07">
        <w:rPr>
          <w:rFonts w:ascii="Trebuchet MS" w:hAnsi="Trebuchet MS"/>
          <w:sz w:val="16"/>
          <w:szCs w:val="16"/>
        </w:rPr>
        <w:t xml:space="preserve"> </w:t>
      </w:r>
      <w:r w:rsidR="00CC48C6">
        <w:rPr>
          <w:rFonts w:ascii="Trebuchet MS" w:hAnsi="Trebuchet MS"/>
          <w:sz w:val="16"/>
          <w:szCs w:val="16"/>
        </w:rPr>
        <w:t xml:space="preserve">con la </w:t>
      </w:r>
      <w:r w:rsidR="00CC48C6"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 w:rsidR="00CC48C6">
        <w:rPr>
          <w:rFonts w:ascii="Trebuchet MS" w:hAnsi="Trebuchet MS"/>
          <w:b/>
          <w:sz w:val="16"/>
          <w:szCs w:val="16"/>
          <w:u w:val="single"/>
        </w:rPr>
        <w:t xml:space="preserve"> </w:t>
      </w:r>
      <w:r w:rsidR="00CC48C6">
        <w:rPr>
          <w:rFonts w:ascii="Trebuchet MS" w:hAnsi="Trebuchet MS"/>
          <w:sz w:val="16"/>
          <w:szCs w:val="16"/>
        </w:rPr>
        <w:t xml:space="preserve">se destacan </w:t>
      </w:r>
      <w:r w:rsidR="00CC48C6" w:rsidRPr="00CC48C6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 fluvial, área o terrestre</w:t>
      </w:r>
      <w:r w:rsidR="00CC48C6">
        <w:rPr>
          <w:rFonts w:ascii="Trebuchet MS" w:hAnsi="Trebuchet MS"/>
          <w:sz w:val="16"/>
          <w:szCs w:val="16"/>
        </w:rPr>
        <w:t xml:space="preserve"> y </w:t>
      </w:r>
      <w:r w:rsidR="00CC48C6" w:rsidRPr="00CC48C6">
        <w:rPr>
          <w:rFonts w:ascii="Trebuchet MS" w:hAnsi="Trebuchet MS"/>
          <w:sz w:val="16"/>
          <w:szCs w:val="16"/>
        </w:rPr>
        <w:t>certificar el estado sanitario y fitosanitario de las exportaciones agropecuarias para contribuir con el mantenimiento de la admisibilidad</w:t>
      </w:r>
      <w:r w:rsidR="00CC48C6">
        <w:rPr>
          <w:rFonts w:ascii="Trebuchet MS" w:hAnsi="Trebuchet MS"/>
          <w:sz w:val="16"/>
          <w:szCs w:val="16"/>
        </w:rPr>
        <w:t xml:space="preserve">, </w:t>
      </w:r>
      <w:r w:rsidR="00CC48C6" w:rsidRPr="00210F07">
        <w:rPr>
          <w:rFonts w:ascii="Trebuchet MS" w:hAnsi="Trebuchet MS"/>
          <w:sz w:val="16"/>
          <w:szCs w:val="16"/>
        </w:rPr>
        <w:t>con un porcentaje de cumplimiento del</w:t>
      </w:r>
      <w:r w:rsidR="00CC48C6">
        <w:rPr>
          <w:rFonts w:ascii="Trebuchet MS" w:hAnsi="Trebuchet MS"/>
          <w:sz w:val="16"/>
          <w:szCs w:val="16"/>
        </w:rPr>
        <w:t xml:space="preserve"> 71.3 y 67.7% respectivamente, </w:t>
      </w:r>
      <w:r w:rsidR="00CC48C6" w:rsidRPr="00210F07">
        <w:rPr>
          <w:rFonts w:ascii="Trebuchet MS" w:hAnsi="Trebuchet MS"/>
          <w:sz w:val="16"/>
          <w:szCs w:val="16"/>
        </w:rPr>
        <w:t>alcanzando así  un</w:t>
      </w:r>
      <w:r w:rsidR="00CC48C6">
        <w:rPr>
          <w:rFonts w:ascii="Trebuchet MS" w:hAnsi="Trebuchet MS"/>
          <w:sz w:val="16"/>
          <w:szCs w:val="16"/>
        </w:rPr>
        <w:t xml:space="preserve"> 70% </w:t>
      </w:r>
      <w:r w:rsidR="00CC48C6" w:rsidRPr="00210F07">
        <w:rPr>
          <w:rFonts w:ascii="Trebuchet MS" w:hAnsi="Trebuchet MS"/>
          <w:sz w:val="16"/>
          <w:szCs w:val="16"/>
        </w:rPr>
        <w:t>en su Plan de Acción.</w:t>
      </w:r>
      <w:r w:rsidR="00CC48C6">
        <w:rPr>
          <w:rFonts w:ascii="Trebuchet MS" w:hAnsi="Trebuchet MS"/>
          <w:sz w:val="18"/>
          <w:szCs w:val="18"/>
        </w:rPr>
        <w:t xml:space="preserve"> </w:t>
      </w:r>
    </w:p>
    <w:p w:rsidR="00CC48C6" w:rsidRDefault="00CC48C6" w:rsidP="00CC48C6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destaca </w:t>
      </w:r>
      <w:r w:rsidRPr="00CC48C6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74.4%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74.4% </w:t>
      </w:r>
      <w:r w:rsidRPr="00210F07">
        <w:rPr>
          <w:rFonts w:ascii="Trebuchet MS" w:hAnsi="Trebuchet MS"/>
          <w:sz w:val="16"/>
          <w:szCs w:val="16"/>
        </w:rPr>
        <w:t>en su Plan de Acción.</w:t>
      </w:r>
      <w:r>
        <w:rPr>
          <w:rFonts w:ascii="Trebuchet MS" w:hAnsi="Trebuchet MS"/>
          <w:sz w:val="18"/>
          <w:szCs w:val="18"/>
        </w:rPr>
        <w:t xml:space="preserve"> </w:t>
      </w:r>
    </w:p>
    <w:p w:rsidR="00AF44AE" w:rsidRDefault="00AF44AE" w:rsidP="00AF44AE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CC48C6" w:rsidRDefault="00AA38B9" w:rsidP="00AA38B9">
      <w:pPr>
        <w:jc w:val="center"/>
        <w:rPr>
          <w:rFonts w:ascii="Trebuchet MS" w:hAnsi="Trebuchet MS"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6C0B1BEE" wp14:editId="09CBB284">
            <wp:extent cx="5613621" cy="2011680"/>
            <wp:effectExtent l="0" t="0" r="25400" b="26670"/>
            <wp:docPr id="68" name="Gráfico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AF44AE" w:rsidRDefault="00CC48C6" w:rsidP="00AF44AE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  <w:r w:rsidR="00AF44AE"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 w:rsidR="00AF44AE">
        <w:rPr>
          <w:rFonts w:ascii="Trebuchet MS" w:hAnsi="Trebuchet MS"/>
          <w:sz w:val="16"/>
          <w:szCs w:val="16"/>
        </w:rPr>
        <w:t>Se</w:t>
      </w:r>
      <w:r w:rsidR="00AF44AE" w:rsidRPr="00210F07">
        <w:rPr>
          <w:rFonts w:ascii="Trebuchet MS" w:hAnsi="Trebuchet MS"/>
          <w:sz w:val="16"/>
          <w:szCs w:val="16"/>
        </w:rPr>
        <w:t>mestre en cuanto a las metas d</w:t>
      </w:r>
      <w:r w:rsidR="00AF44AE">
        <w:rPr>
          <w:rFonts w:ascii="Trebuchet MS" w:hAnsi="Trebuchet MS"/>
          <w:sz w:val="16"/>
          <w:szCs w:val="16"/>
        </w:rPr>
        <w:t>el Plan de acción y lo comprometido</w:t>
      </w:r>
      <w:r w:rsidR="00AF44AE"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AF44AE" w:rsidRDefault="00AF44AE" w:rsidP="00AF44AE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28A45EB2" wp14:editId="3AD68268">
            <wp:extent cx="5390985" cy="1971924"/>
            <wp:effectExtent l="0" t="0" r="19685" b="9525"/>
            <wp:docPr id="54" name="Grá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3D20B1" w:rsidRDefault="003D20B1" w:rsidP="003D20B1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ANTIOQUIA</w:t>
      </w:r>
    </w:p>
    <w:p w:rsidR="003D20B1" w:rsidRDefault="003D20B1" w:rsidP="003D20B1">
      <w:pPr>
        <w:jc w:val="both"/>
        <w:rPr>
          <w:rFonts w:ascii="Trebuchet MS" w:hAnsi="Trebuchet MS"/>
          <w:sz w:val="18"/>
          <w:szCs w:val="18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Antioquia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47.4%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Pr="003D20B1">
        <w:rPr>
          <w:rFonts w:ascii="Trebuchet MS" w:hAnsi="Trebuchet MS"/>
          <w:sz w:val="18"/>
          <w:szCs w:val="18"/>
        </w:rPr>
        <w:t>zonas libres y de baja prevalencia enfermedades animales - erradicación de brucelosis, sistema nacional de identificación e información de animales, sistema de información y vigilancia epidemiológica animal y sistema de supervisión y certificación de  inocuidad pecuaria</w:t>
      </w:r>
      <w:r>
        <w:rPr>
          <w:rFonts w:ascii="Trebuchet MS" w:hAnsi="Trebuchet MS"/>
          <w:sz w:val="18"/>
          <w:szCs w:val="18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100, 74, 53 y 75%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56% </w:t>
      </w:r>
      <w:r w:rsidRPr="00210F07">
        <w:rPr>
          <w:rFonts w:ascii="Trebuchet MS" w:hAnsi="Trebuchet MS"/>
          <w:sz w:val="16"/>
          <w:szCs w:val="16"/>
        </w:rPr>
        <w:t>en su Plan de Acción.</w:t>
      </w:r>
      <w:r>
        <w:rPr>
          <w:rFonts w:ascii="Trebuchet MS" w:hAnsi="Trebuchet MS"/>
          <w:sz w:val="18"/>
          <w:szCs w:val="18"/>
        </w:rPr>
        <w:t xml:space="preserve"> </w:t>
      </w:r>
    </w:p>
    <w:p w:rsidR="003D20B1" w:rsidRDefault="003D20B1" w:rsidP="003D20B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="000243F5" w:rsidRPr="000243F5">
        <w:rPr>
          <w:rFonts w:ascii="Trebuchet MS" w:hAnsi="Trebuchet MS"/>
          <w:sz w:val="16"/>
          <w:szCs w:val="16"/>
        </w:rPr>
        <w:t>control técnico a las semillas, bioseguridad y derechos de obtentor</w:t>
      </w:r>
      <w:r w:rsidR="000243F5">
        <w:rPr>
          <w:rFonts w:ascii="Trebuchet MS" w:hAnsi="Trebuchet MS"/>
          <w:sz w:val="16"/>
          <w:szCs w:val="16"/>
        </w:rPr>
        <w:t xml:space="preserve">, </w:t>
      </w:r>
      <w:r w:rsidR="000243F5" w:rsidRPr="000243F5">
        <w:rPr>
          <w:rFonts w:ascii="Trebuchet MS" w:hAnsi="Trebuchet MS"/>
          <w:sz w:val="16"/>
          <w:szCs w:val="16"/>
        </w:rPr>
        <w:t>protección fitosanitaria en cultivos de plátano y banano</w:t>
      </w:r>
      <w:r w:rsidR="000243F5">
        <w:rPr>
          <w:rFonts w:ascii="Trebuchet MS" w:hAnsi="Trebuchet MS"/>
          <w:sz w:val="16"/>
          <w:szCs w:val="16"/>
        </w:rPr>
        <w:t xml:space="preserve">, </w:t>
      </w:r>
      <w:r w:rsidR="000243F5" w:rsidRPr="000243F5">
        <w:rPr>
          <w:rFonts w:ascii="Trebuchet MS" w:hAnsi="Trebuchet MS"/>
          <w:sz w:val="16"/>
          <w:szCs w:val="16"/>
        </w:rPr>
        <w:t>protección fitosanitaria sobre las principales especies agrícolas del país</w:t>
      </w:r>
      <w:r w:rsidR="000243F5">
        <w:rPr>
          <w:rFonts w:ascii="Trebuchet MS" w:hAnsi="Trebuchet MS"/>
          <w:sz w:val="16"/>
          <w:szCs w:val="16"/>
        </w:rPr>
        <w:t xml:space="preserve">, </w:t>
      </w:r>
      <w:r w:rsidR="000243F5" w:rsidRPr="000243F5">
        <w:rPr>
          <w:rFonts w:ascii="Trebuchet MS" w:hAnsi="Trebuchet MS"/>
          <w:sz w:val="16"/>
          <w:szCs w:val="16"/>
        </w:rPr>
        <w:t>vigilancia y manejo de pc en cultivos de palma de aceite</w:t>
      </w:r>
      <w:r w:rsidR="000243F5">
        <w:rPr>
          <w:rFonts w:ascii="Trebuchet MS" w:hAnsi="Trebuchet MS"/>
          <w:sz w:val="16"/>
          <w:szCs w:val="16"/>
        </w:rPr>
        <w:t xml:space="preserve">, </w:t>
      </w:r>
      <w:r w:rsidR="000243F5" w:rsidRPr="000243F5">
        <w:rPr>
          <w:rFonts w:ascii="Trebuchet MS" w:hAnsi="Trebuchet MS"/>
          <w:sz w:val="16"/>
          <w:szCs w:val="16"/>
        </w:rPr>
        <w:t>control y mantenimiento de áreas libres y de baja prevalencia en los cultivos ornamentales y de algodón</w:t>
      </w:r>
      <w:r w:rsidR="000243F5">
        <w:rPr>
          <w:rFonts w:ascii="Trebuchet MS" w:hAnsi="Trebuchet MS"/>
          <w:sz w:val="16"/>
          <w:szCs w:val="16"/>
        </w:rPr>
        <w:t xml:space="preserve">, </w:t>
      </w:r>
      <w:r w:rsidR="000243F5" w:rsidRPr="000243F5">
        <w:rPr>
          <w:rFonts w:ascii="Trebuchet MS" w:hAnsi="Trebuchet MS"/>
          <w:sz w:val="16"/>
          <w:szCs w:val="16"/>
        </w:rPr>
        <w:t>programa de vigilancia fitosanitaria forestal</w:t>
      </w:r>
      <w:r w:rsidR="000243F5">
        <w:rPr>
          <w:rFonts w:ascii="Trebuchet MS" w:hAnsi="Trebuchet MS"/>
          <w:sz w:val="16"/>
          <w:szCs w:val="16"/>
        </w:rPr>
        <w:t xml:space="preserve"> y </w:t>
      </w:r>
      <w:r w:rsidR="000243F5" w:rsidRPr="000243F5">
        <w:rPr>
          <w:rFonts w:ascii="Trebuchet MS" w:hAnsi="Trebuchet MS"/>
          <w:sz w:val="16"/>
          <w:szCs w:val="16"/>
        </w:rPr>
        <w:t>control técnico en la producción y comercialización de insumos agrícolas</w:t>
      </w:r>
      <w:r w:rsidR="000243F5">
        <w:rPr>
          <w:rFonts w:ascii="Trebuchet MS" w:hAnsi="Trebuchet MS"/>
          <w:sz w:val="16"/>
          <w:szCs w:val="16"/>
        </w:rPr>
        <w:t xml:space="preserve">, </w:t>
      </w:r>
      <w:r w:rsidR="000243F5" w:rsidRPr="00210F07">
        <w:rPr>
          <w:rFonts w:ascii="Trebuchet MS" w:hAnsi="Trebuchet MS"/>
          <w:sz w:val="16"/>
          <w:szCs w:val="16"/>
        </w:rPr>
        <w:t>con un porcentaje de cumplimiento del</w:t>
      </w:r>
      <w:r w:rsidR="000243F5">
        <w:rPr>
          <w:rFonts w:ascii="Trebuchet MS" w:hAnsi="Trebuchet MS"/>
          <w:sz w:val="16"/>
          <w:szCs w:val="16"/>
        </w:rPr>
        <w:t xml:space="preserve"> 74, 55.3, 52.5, 74.2, 73, 75.6 y 54.4% respectivamente, </w:t>
      </w:r>
      <w:r w:rsidR="000243F5" w:rsidRPr="00210F07">
        <w:rPr>
          <w:rFonts w:ascii="Trebuchet MS" w:hAnsi="Trebuchet MS"/>
          <w:sz w:val="16"/>
          <w:szCs w:val="16"/>
        </w:rPr>
        <w:t>alcanzando así  un</w:t>
      </w:r>
      <w:r w:rsidR="000243F5">
        <w:rPr>
          <w:rFonts w:ascii="Trebuchet MS" w:hAnsi="Trebuchet MS"/>
          <w:sz w:val="16"/>
          <w:szCs w:val="16"/>
        </w:rPr>
        <w:t xml:space="preserve"> 53.5% </w:t>
      </w:r>
      <w:r w:rsidR="000243F5" w:rsidRPr="00210F07">
        <w:rPr>
          <w:rFonts w:ascii="Trebuchet MS" w:hAnsi="Trebuchet MS"/>
          <w:sz w:val="16"/>
          <w:szCs w:val="16"/>
        </w:rPr>
        <w:t>en su Plan de Acción.</w:t>
      </w:r>
    </w:p>
    <w:p w:rsidR="00CA28F9" w:rsidRDefault="00CA28F9" w:rsidP="003D20B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Destaca </w:t>
      </w:r>
      <w:r w:rsidRPr="00CA28F9">
        <w:rPr>
          <w:rFonts w:ascii="Trebuchet MS" w:hAnsi="Trebuchet MS"/>
          <w:sz w:val="16"/>
          <w:szCs w:val="16"/>
        </w:rPr>
        <w:t>certificar el estado sanitario y fitosanitario de las exportaciones agropecuarias para contribuir con el mantenimiento de la admisibilidad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56.2%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50% </w:t>
      </w:r>
      <w:r w:rsidRPr="00210F07">
        <w:rPr>
          <w:rFonts w:ascii="Trebuchet MS" w:hAnsi="Trebuchet MS"/>
          <w:sz w:val="16"/>
          <w:szCs w:val="16"/>
        </w:rPr>
        <w:t>en su Plan de Acción.</w:t>
      </w:r>
      <w:r>
        <w:rPr>
          <w:rFonts w:ascii="Trebuchet MS" w:hAnsi="Trebuchet MS"/>
          <w:sz w:val="16"/>
          <w:szCs w:val="16"/>
        </w:rPr>
        <w:t xml:space="preserve"> </w:t>
      </w:r>
    </w:p>
    <w:p w:rsidR="00CA28F9" w:rsidRDefault="00CA28F9" w:rsidP="003D20B1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210F07">
        <w:rPr>
          <w:rFonts w:ascii="Trebuchet MS" w:hAnsi="Trebuchet MS"/>
          <w:b/>
          <w:sz w:val="16"/>
          <w:szCs w:val="16"/>
          <w:u w:val="single"/>
        </w:rPr>
        <w:t>Análisis y Diagnóstico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recalca </w:t>
      </w:r>
      <w:r w:rsidRPr="00CA28F9">
        <w:rPr>
          <w:rFonts w:ascii="Trebuchet MS" w:hAnsi="Trebuchet MS"/>
          <w:sz w:val="16"/>
          <w:szCs w:val="16"/>
        </w:rPr>
        <w:t>consolidación del servicio en la red oficial de diagnóstico fitosanitario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46%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30% </w:t>
      </w:r>
      <w:r w:rsidRPr="00210F07">
        <w:rPr>
          <w:rFonts w:ascii="Trebuchet MS" w:hAnsi="Trebuchet MS"/>
          <w:sz w:val="16"/>
          <w:szCs w:val="16"/>
        </w:rPr>
        <w:t>en su Plan de Acción.</w:t>
      </w:r>
      <w:r>
        <w:rPr>
          <w:rFonts w:ascii="Trebuchet MS" w:hAnsi="Trebuchet MS"/>
          <w:sz w:val="16"/>
          <w:szCs w:val="16"/>
        </w:rPr>
        <w:t xml:space="preserve">  </w:t>
      </w:r>
    </w:p>
    <w:p w:rsidR="00CA28F9" w:rsidRDefault="00CA28F9" w:rsidP="00CA28F9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CA28F9" w:rsidRDefault="00CA28F9" w:rsidP="00CA28F9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011D5613" wp14:editId="044B8FEE">
            <wp:extent cx="5613621" cy="1884459"/>
            <wp:effectExtent l="0" t="0" r="25400" b="20955"/>
            <wp:docPr id="57" name="Gráfico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3D1ADC" w:rsidRDefault="003D1ADC" w:rsidP="003D1ADC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0243F5" w:rsidRDefault="003D1ADC" w:rsidP="003D1ADC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6D864642" wp14:editId="2E13319A">
            <wp:extent cx="5462546" cy="2019631"/>
            <wp:effectExtent l="0" t="0" r="24130" b="19050"/>
            <wp:docPr id="58" name="Gráfico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3D1ADC" w:rsidRDefault="003D1ADC" w:rsidP="003D1ADC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GUAJIRA</w:t>
      </w:r>
    </w:p>
    <w:p w:rsidR="003D1ADC" w:rsidRDefault="003D1ADC" w:rsidP="003D1ADC">
      <w:pPr>
        <w:jc w:val="both"/>
        <w:rPr>
          <w:rFonts w:ascii="Trebuchet MS" w:hAnsi="Trebuchet MS"/>
          <w:sz w:val="16"/>
          <w:szCs w:val="16"/>
        </w:rPr>
      </w:pPr>
      <w:r w:rsidRPr="005927C1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Guajira</w:t>
      </w:r>
      <w:r w:rsidRPr="005927C1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32.1%</w:t>
      </w:r>
      <w:r w:rsidRPr="008F1B7D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>en cuanto a las acciones estratégicas asociadas al Plan de Acción Seccional.</w:t>
      </w:r>
      <w:r>
        <w:rPr>
          <w:rFonts w:ascii="Trebuchet MS" w:hAnsi="Trebuchet MS"/>
          <w:sz w:val="16"/>
          <w:szCs w:val="16"/>
        </w:rPr>
        <w:t xml:space="preserve"> </w:t>
      </w:r>
      <w:r w:rsidRPr="005927C1">
        <w:rPr>
          <w:rFonts w:ascii="Trebuchet MS" w:hAnsi="Trebuchet MS"/>
          <w:sz w:val="16"/>
          <w:szCs w:val="16"/>
        </w:rPr>
        <w:t xml:space="preserve">En lo correspondiente al área </w:t>
      </w:r>
      <w:r w:rsidRPr="005927C1">
        <w:rPr>
          <w:rFonts w:ascii="Trebuchet MS" w:hAnsi="Trebuchet MS"/>
          <w:b/>
          <w:sz w:val="16"/>
          <w:szCs w:val="16"/>
          <w:u w:val="single"/>
        </w:rPr>
        <w:t>Pecuaria</w:t>
      </w:r>
      <w:r w:rsidRPr="005927C1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="002A5EBF" w:rsidRPr="002A5EBF">
        <w:rPr>
          <w:rFonts w:ascii="Trebuchet MS" w:hAnsi="Trebuchet MS"/>
          <w:sz w:val="18"/>
          <w:szCs w:val="18"/>
        </w:rPr>
        <w:t xml:space="preserve">zonas libres y de baja prevalencia enfermedades animales   - </w:t>
      </w:r>
      <w:r w:rsidR="002A5EBF">
        <w:rPr>
          <w:rFonts w:ascii="Trebuchet MS" w:hAnsi="Trebuchet MS"/>
          <w:sz w:val="18"/>
          <w:szCs w:val="18"/>
        </w:rPr>
        <w:t>PPC</w:t>
      </w:r>
      <w:r w:rsidR="002A5EBF" w:rsidRPr="002A5EBF">
        <w:rPr>
          <w:rFonts w:ascii="Trebuchet MS" w:hAnsi="Trebuchet MS"/>
          <w:sz w:val="18"/>
          <w:szCs w:val="18"/>
        </w:rPr>
        <w:t>, sistema nacional de identificación e información de animales y sistema de información y vigilancia epidemiológica animal</w:t>
      </w:r>
      <w:r w:rsidR="002A5EBF">
        <w:rPr>
          <w:rFonts w:ascii="Trebuchet MS" w:hAnsi="Trebuchet MS"/>
          <w:sz w:val="18"/>
          <w:szCs w:val="18"/>
        </w:rPr>
        <w:t xml:space="preserve">, </w:t>
      </w:r>
      <w:r w:rsidR="002A5EBF" w:rsidRPr="00210F07">
        <w:rPr>
          <w:rFonts w:ascii="Trebuchet MS" w:hAnsi="Trebuchet MS"/>
          <w:sz w:val="16"/>
          <w:szCs w:val="16"/>
        </w:rPr>
        <w:t>con un porcentaje de cumplimiento del</w:t>
      </w:r>
      <w:r w:rsidR="002A5EBF">
        <w:rPr>
          <w:rFonts w:ascii="Trebuchet MS" w:hAnsi="Trebuchet MS"/>
          <w:sz w:val="16"/>
          <w:szCs w:val="16"/>
        </w:rPr>
        <w:t xml:space="preserve"> 55, 57 y 57% respectivamente, </w:t>
      </w:r>
      <w:r w:rsidR="002A5EBF" w:rsidRPr="00210F07">
        <w:rPr>
          <w:rFonts w:ascii="Trebuchet MS" w:hAnsi="Trebuchet MS"/>
          <w:sz w:val="16"/>
          <w:szCs w:val="16"/>
        </w:rPr>
        <w:t>alcanzando así  un</w:t>
      </w:r>
      <w:r w:rsidR="002A5EBF">
        <w:rPr>
          <w:rFonts w:ascii="Trebuchet MS" w:hAnsi="Trebuchet MS"/>
          <w:sz w:val="16"/>
          <w:szCs w:val="16"/>
        </w:rPr>
        <w:t xml:space="preserve"> 33% </w:t>
      </w:r>
      <w:r w:rsidR="002A5EBF" w:rsidRPr="00210F07">
        <w:rPr>
          <w:rFonts w:ascii="Trebuchet MS" w:hAnsi="Trebuchet MS"/>
          <w:sz w:val="16"/>
          <w:szCs w:val="16"/>
        </w:rPr>
        <w:t>en su Plan de Acción.</w:t>
      </w:r>
    </w:p>
    <w:p w:rsidR="002A5EBF" w:rsidRDefault="002A5EBF" w:rsidP="002A5EBF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</w:t>
      </w:r>
      <w:r>
        <w:rPr>
          <w:rFonts w:ascii="Trebuchet MS" w:hAnsi="Trebuchet MS"/>
          <w:sz w:val="16"/>
          <w:szCs w:val="16"/>
        </w:rPr>
        <w:t xml:space="preserve">cuanto a las acciones de índole </w:t>
      </w:r>
      <w:r w:rsidRPr="00A735D5">
        <w:rPr>
          <w:rFonts w:ascii="Trebuchet MS" w:hAnsi="Trebuchet MS"/>
          <w:b/>
          <w:sz w:val="16"/>
          <w:szCs w:val="16"/>
          <w:u w:val="single"/>
        </w:rPr>
        <w:t>A</w:t>
      </w:r>
      <w:r w:rsidRPr="00C67AB1">
        <w:rPr>
          <w:rFonts w:ascii="Trebuchet MS" w:hAnsi="Trebuchet MS"/>
          <w:b/>
          <w:sz w:val="16"/>
          <w:szCs w:val="16"/>
          <w:u w:val="single"/>
        </w:rPr>
        <w:t>grícola</w:t>
      </w:r>
      <w:r>
        <w:rPr>
          <w:rFonts w:ascii="Trebuchet MS" w:hAnsi="Trebuchet MS"/>
          <w:sz w:val="16"/>
          <w:szCs w:val="16"/>
        </w:rPr>
        <w:t>, se destacan</w:t>
      </w:r>
      <w:r w:rsidRPr="00210F07">
        <w:rPr>
          <w:rFonts w:ascii="Trebuchet MS" w:hAnsi="Trebuchet MS"/>
          <w:sz w:val="16"/>
          <w:szCs w:val="16"/>
        </w:rPr>
        <w:t xml:space="preserve"> las Acciones Estratégicas</w:t>
      </w:r>
      <w:r>
        <w:rPr>
          <w:rFonts w:ascii="Trebuchet MS" w:hAnsi="Trebuchet MS"/>
          <w:sz w:val="16"/>
          <w:szCs w:val="16"/>
        </w:rPr>
        <w:t xml:space="preserve"> de </w:t>
      </w:r>
      <w:r w:rsidRPr="002A5EBF">
        <w:rPr>
          <w:rFonts w:ascii="Trebuchet MS" w:hAnsi="Trebuchet MS"/>
          <w:sz w:val="16"/>
          <w:szCs w:val="16"/>
        </w:rPr>
        <w:t>protección fitosanitaria en cultivos de plátano y banano</w:t>
      </w:r>
      <w:r>
        <w:rPr>
          <w:rFonts w:ascii="Trebuchet MS" w:hAnsi="Trebuchet MS"/>
          <w:sz w:val="16"/>
          <w:szCs w:val="16"/>
        </w:rPr>
        <w:t xml:space="preserve">, </w:t>
      </w:r>
      <w:r w:rsidRPr="002A5EBF">
        <w:rPr>
          <w:rFonts w:ascii="Trebuchet MS" w:hAnsi="Trebuchet MS"/>
          <w:sz w:val="16"/>
          <w:szCs w:val="16"/>
        </w:rPr>
        <w:t>protección fitosanitaria sobre las principa</w:t>
      </w:r>
      <w:r>
        <w:rPr>
          <w:rFonts w:ascii="Trebuchet MS" w:hAnsi="Trebuchet MS"/>
          <w:sz w:val="16"/>
          <w:szCs w:val="16"/>
        </w:rPr>
        <w:t xml:space="preserve">les especies agrícolas del país y </w:t>
      </w:r>
      <w:r w:rsidRPr="002A5EBF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75.2, 60.4 y 72.3%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48.2%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2A5EBF" w:rsidRDefault="002A5EBF" w:rsidP="002A5EBF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Las acciones relacionadas</w:t>
      </w:r>
      <w:r w:rsidRPr="00210F07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con la </w:t>
      </w:r>
      <w:r w:rsidRPr="00210F07">
        <w:rPr>
          <w:rFonts w:ascii="Trebuchet MS" w:hAnsi="Trebuchet MS"/>
          <w:b/>
          <w:sz w:val="16"/>
          <w:szCs w:val="16"/>
          <w:u w:val="single"/>
        </w:rPr>
        <w:t>Protección Fronteriza</w:t>
      </w:r>
      <w:r>
        <w:rPr>
          <w:rFonts w:ascii="Trebuchet MS" w:hAnsi="Trebuchet MS"/>
          <w:b/>
          <w:sz w:val="16"/>
          <w:szCs w:val="16"/>
          <w:u w:val="single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se recalca </w:t>
      </w:r>
      <w:r w:rsidRPr="002A5EBF">
        <w:rPr>
          <w:rFonts w:ascii="Trebuchet MS" w:hAnsi="Trebuchet MS"/>
          <w:sz w:val="16"/>
          <w:szCs w:val="16"/>
        </w:rPr>
        <w:t>inspección y seguimiento de las importaciones agropecuarias y los medios de transporte que llegan o ingresen al país, por vía marítima, fluvial, área o terrestre</w:t>
      </w:r>
      <w:r>
        <w:rPr>
          <w:rFonts w:ascii="Trebuchet MS" w:hAnsi="Trebuchet MS"/>
          <w:sz w:val="16"/>
          <w:szCs w:val="16"/>
        </w:rPr>
        <w:t xml:space="preserve">, </w:t>
      </w:r>
      <w:r w:rsidRPr="00210F07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26.7% respectivamente, </w:t>
      </w:r>
      <w:r w:rsidRPr="00210F07">
        <w:rPr>
          <w:rFonts w:ascii="Trebuchet MS" w:hAnsi="Trebuchet MS"/>
          <w:sz w:val="16"/>
          <w:szCs w:val="16"/>
        </w:rPr>
        <w:t>alcanzando así  un</w:t>
      </w:r>
      <w:r>
        <w:rPr>
          <w:rFonts w:ascii="Trebuchet MS" w:hAnsi="Trebuchet MS"/>
          <w:sz w:val="16"/>
          <w:szCs w:val="16"/>
        </w:rPr>
        <w:t xml:space="preserve"> 15% </w:t>
      </w:r>
      <w:r w:rsidRPr="00210F07">
        <w:rPr>
          <w:rFonts w:ascii="Trebuchet MS" w:hAnsi="Trebuchet MS"/>
          <w:sz w:val="16"/>
          <w:szCs w:val="16"/>
        </w:rPr>
        <w:t>en su Plan de Acción.</w:t>
      </w:r>
    </w:p>
    <w:p w:rsidR="002A5EBF" w:rsidRDefault="002A5EBF" w:rsidP="002A5EBF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2A5EBF" w:rsidRDefault="002A5EBF" w:rsidP="002A5EBF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3F366330" wp14:editId="19AE02C1">
            <wp:extent cx="5613621" cy="2194560"/>
            <wp:effectExtent l="0" t="0" r="25400" b="15240"/>
            <wp:docPr id="59" name="Gráfico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AB461A" w:rsidRDefault="00AB461A" w:rsidP="00AB461A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2A5EBF" w:rsidRDefault="00AB461A" w:rsidP="002A5EBF">
      <w:pPr>
        <w:jc w:val="both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143D2FD7" wp14:editId="45E84DBE">
            <wp:extent cx="5454595" cy="2282025"/>
            <wp:effectExtent l="0" t="0" r="13335" b="23495"/>
            <wp:docPr id="60" name="Gráfico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9F559B" w:rsidRDefault="009F559B" w:rsidP="009F559B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VALLE DE CAUCA</w:t>
      </w:r>
    </w:p>
    <w:p w:rsidR="009F559B" w:rsidRPr="000E3FD3" w:rsidRDefault="009F559B" w:rsidP="009F559B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>Teniendo en cuenta el avance del Primer Semestre del año vigente, la seccional Valle ha tenido un cumplimiento del 52.5%</w:t>
      </w:r>
      <w:r w:rsidRPr="000E3FD3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0E3FD3">
        <w:rPr>
          <w:rFonts w:ascii="Trebuchet MS" w:hAnsi="Trebuchet MS"/>
          <w:sz w:val="16"/>
          <w:szCs w:val="16"/>
        </w:rPr>
        <w:t xml:space="preserve">en cuanto a las acciones estratégicas asociadas al Plan de Acción Seccional. En lo correspondiente al área </w:t>
      </w:r>
      <w:r w:rsidRPr="000E3FD3">
        <w:rPr>
          <w:rFonts w:ascii="Trebuchet MS" w:hAnsi="Trebuchet MS"/>
          <w:b/>
          <w:sz w:val="16"/>
          <w:szCs w:val="16"/>
          <w:u w:val="single"/>
        </w:rPr>
        <w:t>Pecuaria</w:t>
      </w:r>
      <w:r w:rsidRPr="000E3FD3">
        <w:rPr>
          <w:rFonts w:ascii="Trebuchet MS" w:hAnsi="Trebuchet MS"/>
          <w:sz w:val="16"/>
          <w:szCs w:val="16"/>
        </w:rPr>
        <w:t xml:space="preserve"> se destacan las Acciones Estratégicas de zonas libres y baja prevalencia enfermedades animales - fiebre aftosa, zonas libres y de baja prevalencia enfermedades animales - erradicación de brucelosis, zonas libres y de baja prevalencia enfermedades animales - erradicación de tuberculosis y sistema de información y vigilancia epidemiológica animal, con un porcentaje de cumplimiento del 75, 87, 58 y 60% respectivamente, alcanzando así  un 51% en su Plan de Acción.</w:t>
      </w:r>
    </w:p>
    <w:p w:rsidR="00D217A3" w:rsidRPr="000E3FD3" w:rsidRDefault="009F559B" w:rsidP="00D217A3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En cuanto a las acciones de índole </w:t>
      </w:r>
      <w:r w:rsidRPr="000E3FD3">
        <w:rPr>
          <w:rFonts w:ascii="Trebuchet MS" w:hAnsi="Trebuchet MS"/>
          <w:b/>
          <w:sz w:val="16"/>
          <w:szCs w:val="16"/>
          <w:u w:val="single"/>
        </w:rPr>
        <w:t>Agrícola</w:t>
      </w:r>
      <w:r w:rsidRPr="000E3FD3">
        <w:rPr>
          <w:rFonts w:ascii="Trebuchet MS" w:hAnsi="Trebuchet MS"/>
          <w:sz w:val="16"/>
          <w:szCs w:val="16"/>
        </w:rPr>
        <w:t xml:space="preserve">, se destacan las Acciones Estratégicas de control técnico a las semillas, bioseguridad y derechos de obtentor, protección fitosanitaria en cultivos de plátano y banano, protección fitosanitaria sobre las principales especies agrícolas del país y control técnico en la producción y comercialización de insumos agrícolas, </w:t>
      </w:r>
      <w:r w:rsidR="00D217A3" w:rsidRPr="000E3FD3">
        <w:rPr>
          <w:rFonts w:ascii="Trebuchet MS" w:hAnsi="Trebuchet MS"/>
          <w:sz w:val="16"/>
          <w:szCs w:val="16"/>
        </w:rPr>
        <w:t>con un porcentaje de cumplimiento del 71, 58 y 63.5% respectivamente, alcanzando así  un 46% en su Plan de Acción.</w:t>
      </w:r>
    </w:p>
    <w:p w:rsidR="000E3FD3" w:rsidRPr="000E3FD3" w:rsidRDefault="00D217A3" w:rsidP="000E3FD3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Las acciones relacionadas con la </w:t>
      </w:r>
      <w:r w:rsidRPr="000E3FD3">
        <w:rPr>
          <w:rFonts w:ascii="Trebuchet MS" w:hAnsi="Trebuchet MS"/>
          <w:b/>
          <w:sz w:val="16"/>
          <w:szCs w:val="16"/>
          <w:u w:val="single"/>
        </w:rPr>
        <w:t xml:space="preserve">Protección Fronteriza </w:t>
      </w:r>
      <w:r w:rsidRPr="000E3FD3">
        <w:rPr>
          <w:rFonts w:ascii="Trebuchet MS" w:hAnsi="Trebuchet MS"/>
          <w:sz w:val="16"/>
          <w:szCs w:val="16"/>
        </w:rPr>
        <w:t xml:space="preserve">se destaca inspección y seguimiento de las importaciones agropecuarias y los medios de transporte que llegan o ingresen al país, por vía marítima, fluvial, área o terrestre y certificar el estado sanitario y fitosanitario de las exportaciones agropecuarias para contribuir con el mantenimiento de la admisibilidad, </w:t>
      </w:r>
      <w:r w:rsidR="000E3FD3" w:rsidRPr="000E3FD3">
        <w:rPr>
          <w:rFonts w:ascii="Trebuchet MS" w:hAnsi="Trebuchet MS"/>
          <w:sz w:val="16"/>
          <w:szCs w:val="16"/>
        </w:rPr>
        <w:t>con un porcentaje de cumplimiento del 53 y 51% respectivamente, alcanzando así  un 52% en su Plan de Acción.</w:t>
      </w:r>
    </w:p>
    <w:p w:rsidR="000E3FD3" w:rsidRPr="000E3FD3" w:rsidRDefault="000E3FD3" w:rsidP="000E3FD3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0E3FD3">
        <w:rPr>
          <w:rFonts w:ascii="Trebuchet MS" w:hAnsi="Trebuchet MS"/>
          <w:b/>
          <w:sz w:val="16"/>
          <w:szCs w:val="16"/>
          <w:u w:val="single"/>
        </w:rPr>
        <w:t xml:space="preserve">Análisis y Diagnóstico </w:t>
      </w:r>
      <w:r w:rsidRPr="000E3FD3">
        <w:rPr>
          <w:rFonts w:ascii="Trebuchet MS" w:hAnsi="Trebuchet MS"/>
          <w:sz w:val="16"/>
          <w:szCs w:val="16"/>
        </w:rPr>
        <w:t>se destaca consolidación del servicio en la red oficial de diagnóstico fitosanitario y fortalecimiento de la red oficial de semillas, con un porcentaje de cumplimiento del 76 y 75% respectivamente, alcanzando así  un 61% en su Plan de Acción.</w:t>
      </w:r>
    </w:p>
    <w:p w:rsidR="000E3FD3" w:rsidRPr="000E3FD3" w:rsidRDefault="000E3FD3" w:rsidP="000E3FD3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0E3FD3" w:rsidRDefault="000E3FD3" w:rsidP="000E3FD3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096AE5A4" wp14:editId="28CF7D88">
            <wp:extent cx="5589767" cy="1781092"/>
            <wp:effectExtent l="0" t="0" r="11430" b="10160"/>
            <wp:docPr id="61" name="Gráfico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0E3FD3" w:rsidRDefault="000E3FD3" w:rsidP="000E3FD3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0E3FD3" w:rsidRDefault="000E3FD3" w:rsidP="000E3FD3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658FE13F" wp14:editId="1C2364C4">
            <wp:extent cx="5367130" cy="1900362"/>
            <wp:effectExtent l="0" t="0" r="24130" b="24130"/>
            <wp:docPr id="62" name="Gráfico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DD0C2C" w:rsidRDefault="00DD0C2C" w:rsidP="00DD0C2C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GERENCIA  SECCIONAL CASANARE</w:t>
      </w:r>
    </w:p>
    <w:p w:rsidR="006B3831" w:rsidRDefault="00DD0C2C" w:rsidP="006B3831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Teniendo en cuenta el avance del Primer Semestre del año vigente, la seccional </w:t>
      </w:r>
      <w:r>
        <w:rPr>
          <w:rFonts w:ascii="Trebuchet MS" w:hAnsi="Trebuchet MS"/>
          <w:sz w:val="16"/>
          <w:szCs w:val="16"/>
        </w:rPr>
        <w:t>Casanare</w:t>
      </w:r>
      <w:r w:rsidRPr="000E3FD3">
        <w:rPr>
          <w:rFonts w:ascii="Trebuchet MS" w:hAnsi="Trebuchet MS"/>
          <w:sz w:val="16"/>
          <w:szCs w:val="16"/>
        </w:rPr>
        <w:t xml:space="preserve"> ha tenido un cumplimiento del </w:t>
      </w:r>
      <w:r>
        <w:rPr>
          <w:rFonts w:ascii="Trebuchet MS" w:hAnsi="Trebuchet MS"/>
          <w:sz w:val="16"/>
          <w:szCs w:val="16"/>
        </w:rPr>
        <w:t>34.8</w:t>
      </w:r>
      <w:r w:rsidRPr="000E3FD3">
        <w:rPr>
          <w:rFonts w:ascii="Trebuchet MS" w:hAnsi="Trebuchet MS"/>
          <w:sz w:val="16"/>
          <w:szCs w:val="16"/>
        </w:rPr>
        <w:t>%</w:t>
      </w:r>
      <w:r w:rsidRPr="000E3FD3">
        <w:rPr>
          <w:rFonts w:ascii="Trebuchet MS" w:hAnsi="Trebuchet MS"/>
          <w:color w:val="000000" w:themeColor="text1"/>
          <w:sz w:val="16"/>
          <w:szCs w:val="16"/>
        </w:rPr>
        <w:t xml:space="preserve"> </w:t>
      </w:r>
      <w:r w:rsidRPr="000E3FD3">
        <w:rPr>
          <w:rFonts w:ascii="Trebuchet MS" w:hAnsi="Trebuchet MS"/>
          <w:sz w:val="16"/>
          <w:szCs w:val="16"/>
        </w:rPr>
        <w:t xml:space="preserve">en cuanto a las acciones estratégicas asociadas al Plan de Acción Seccional. En lo correspondiente al área </w:t>
      </w:r>
      <w:r w:rsidRPr="000E3FD3">
        <w:rPr>
          <w:rFonts w:ascii="Trebuchet MS" w:hAnsi="Trebuchet MS"/>
          <w:b/>
          <w:sz w:val="16"/>
          <w:szCs w:val="16"/>
          <w:u w:val="single"/>
        </w:rPr>
        <w:t>Pecuaria</w:t>
      </w:r>
      <w:r w:rsidRPr="000E3FD3">
        <w:rPr>
          <w:rFonts w:ascii="Trebuchet MS" w:hAnsi="Trebuchet MS"/>
          <w:sz w:val="16"/>
          <w:szCs w:val="16"/>
        </w:rPr>
        <w:t xml:space="preserve">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Pr="00DD0C2C">
        <w:rPr>
          <w:rFonts w:ascii="Trebuchet MS" w:hAnsi="Trebuchet MS"/>
          <w:sz w:val="18"/>
          <w:szCs w:val="18"/>
        </w:rPr>
        <w:t xml:space="preserve">zonas libres y de baja prevalencia enfermedades animales - encefalopatía espongiforme bovina- </w:t>
      </w:r>
      <w:r>
        <w:rPr>
          <w:rFonts w:ascii="Trebuchet MS" w:hAnsi="Trebuchet MS"/>
          <w:sz w:val="18"/>
          <w:szCs w:val="18"/>
        </w:rPr>
        <w:t>EEB</w:t>
      </w:r>
      <w:r w:rsidRPr="00DD0C2C">
        <w:rPr>
          <w:rFonts w:ascii="Trebuchet MS" w:hAnsi="Trebuchet MS"/>
          <w:sz w:val="18"/>
          <w:szCs w:val="18"/>
        </w:rPr>
        <w:t xml:space="preserve"> y sistema nacional de identificación e información de animales</w:t>
      </w:r>
      <w:r>
        <w:rPr>
          <w:rFonts w:ascii="Trebuchet MS" w:hAnsi="Trebuchet MS"/>
          <w:sz w:val="18"/>
          <w:szCs w:val="18"/>
        </w:rPr>
        <w:t xml:space="preserve">, </w:t>
      </w:r>
      <w:r w:rsidRPr="000E3FD3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76 y 100% </w:t>
      </w:r>
      <w:r w:rsidR="006B3831" w:rsidRPr="000E3FD3">
        <w:rPr>
          <w:rFonts w:ascii="Trebuchet MS" w:hAnsi="Trebuchet MS"/>
          <w:sz w:val="16"/>
          <w:szCs w:val="16"/>
        </w:rPr>
        <w:t xml:space="preserve">respectivamente, alcanzando así  un </w:t>
      </w:r>
      <w:r w:rsidR="006B3831">
        <w:rPr>
          <w:rFonts w:ascii="Trebuchet MS" w:hAnsi="Trebuchet MS"/>
          <w:sz w:val="16"/>
          <w:szCs w:val="16"/>
        </w:rPr>
        <w:t>45</w:t>
      </w:r>
      <w:r w:rsidR="006B3831" w:rsidRPr="000E3FD3">
        <w:rPr>
          <w:rFonts w:ascii="Trebuchet MS" w:hAnsi="Trebuchet MS"/>
          <w:sz w:val="16"/>
          <w:szCs w:val="16"/>
        </w:rPr>
        <w:t>% en su Plan de Acción.</w:t>
      </w:r>
    </w:p>
    <w:p w:rsidR="006B3831" w:rsidRDefault="006B3831" w:rsidP="006B3831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En cuanto a las acciones de índole </w:t>
      </w:r>
      <w:r w:rsidRPr="000E3FD3">
        <w:rPr>
          <w:rFonts w:ascii="Trebuchet MS" w:hAnsi="Trebuchet MS"/>
          <w:b/>
          <w:sz w:val="16"/>
          <w:szCs w:val="16"/>
          <w:u w:val="single"/>
        </w:rPr>
        <w:t>Agrícola</w:t>
      </w:r>
      <w:r w:rsidRPr="000E3FD3">
        <w:rPr>
          <w:rFonts w:ascii="Trebuchet MS" w:hAnsi="Trebuchet MS"/>
          <w:sz w:val="16"/>
          <w:szCs w:val="16"/>
        </w:rPr>
        <w:t>, se destacan las Acciones Estratégicas de</w:t>
      </w:r>
      <w:r>
        <w:rPr>
          <w:rFonts w:ascii="Trebuchet MS" w:hAnsi="Trebuchet MS"/>
          <w:sz w:val="16"/>
          <w:szCs w:val="16"/>
        </w:rPr>
        <w:t xml:space="preserve"> </w:t>
      </w:r>
      <w:r w:rsidRPr="006B3831">
        <w:rPr>
          <w:rFonts w:ascii="Trebuchet MS" w:hAnsi="Trebuchet MS"/>
          <w:sz w:val="16"/>
          <w:szCs w:val="16"/>
        </w:rPr>
        <w:t>programa de vigilancia fitosanitaria forestal</w:t>
      </w:r>
      <w:r>
        <w:rPr>
          <w:rFonts w:ascii="Trebuchet MS" w:hAnsi="Trebuchet MS"/>
          <w:sz w:val="16"/>
          <w:szCs w:val="16"/>
        </w:rPr>
        <w:t xml:space="preserve">, </w:t>
      </w:r>
      <w:r w:rsidRPr="000E3FD3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65% </w:t>
      </w:r>
      <w:r w:rsidRPr="000E3FD3">
        <w:rPr>
          <w:rFonts w:ascii="Trebuchet MS" w:hAnsi="Trebuchet MS"/>
          <w:sz w:val="16"/>
          <w:szCs w:val="16"/>
        </w:rPr>
        <w:t xml:space="preserve">respectivamente, alcanzando así  un </w:t>
      </w:r>
      <w:r>
        <w:rPr>
          <w:rFonts w:ascii="Trebuchet MS" w:hAnsi="Trebuchet MS"/>
          <w:sz w:val="16"/>
          <w:szCs w:val="16"/>
        </w:rPr>
        <w:t>31.9</w:t>
      </w:r>
      <w:r w:rsidRPr="000E3FD3">
        <w:rPr>
          <w:rFonts w:ascii="Trebuchet MS" w:hAnsi="Trebuchet MS"/>
          <w:sz w:val="16"/>
          <w:szCs w:val="16"/>
        </w:rPr>
        <w:t>% en su Plan de Acción.</w:t>
      </w:r>
    </w:p>
    <w:p w:rsidR="006B3831" w:rsidRDefault="006B3831" w:rsidP="006B3831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Por último. En cuanto a las actividades planificadas en materia de </w:t>
      </w:r>
      <w:r w:rsidRPr="000E3FD3">
        <w:rPr>
          <w:rFonts w:ascii="Trebuchet MS" w:hAnsi="Trebuchet MS"/>
          <w:b/>
          <w:sz w:val="16"/>
          <w:szCs w:val="16"/>
          <w:u w:val="single"/>
        </w:rPr>
        <w:t xml:space="preserve">Análisis y Diagnóstico </w:t>
      </w:r>
      <w:r w:rsidRPr="000E3FD3">
        <w:rPr>
          <w:rFonts w:ascii="Trebuchet MS" w:hAnsi="Trebuchet MS"/>
          <w:sz w:val="16"/>
          <w:szCs w:val="16"/>
        </w:rPr>
        <w:t>se</w:t>
      </w:r>
      <w:r>
        <w:rPr>
          <w:rFonts w:ascii="Trebuchet MS" w:hAnsi="Trebuchet MS"/>
          <w:sz w:val="16"/>
          <w:szCs w:val="16"/>
        </w:rPr>
        <w:t xml:space="preserve"> recalca </w:t>
      </w:r>
      <w:r w:rsidRPr="006B3831">
        <w:rPr>
          <w:rFonts w:ascii="Trebuchet MS" w:hAnsi="Trebuchet MS"/>
          <w:sz w:val="16"/>
          <w:szCs w:val="16"/>
        </w:rPr>
        <w:t>consolidación del servicio en la red oficial de laboratorios de diagnóstico veterinario y fortalecimiento en la red oficial de brucelosis</w:t>
      </w:r>
      <w:r>
        <w:rPr>
          <w:rFonts w:ascii="Trebuchet MS" w:hAnsi="Trebuchet MS"/>
          <w:sz w:val="16"/>
          <w:szCs w:val="16"/>
        </w:rPr>
        <w:t xml:space="preserve">, </w:t>
      </w:r>
      <w:r w:rsidRPr="000E3FD3">
        <w:rPr>
          <w:rFonts w:ascii="Trebuchet MS" w:hAnsi="Trebuchet MS"/>
          <w:sz w:val="16"/>
          <w:szCs w:val="16"/>
        </w:rPr>
        <w:t>con un porcentaje de cumplimiento del</w:t>
      </w:r>
      <w:r>
        <w:rPr>
          <w:rFonts w:ascii="Trebuchet MS" w:hAnsi="Trebuchet MS"/>
          <w:sz w:val="16"/>
          <w:szCs w:val="16"/>
        </w:rPr>
        <w:t xml:space="preserve"> 27.4% </w:t>
      </w:r>
      <w:r w:rsidRPr="000E3FD3">
        <w:rPr>
          <w:rFonts w:ascii="Trebuchet MS" w:hAnsi="Trebuchet MS"/>
          <w:sz w:val="16"/>
          <w:szCs w:val="16"/>
        </w:rPr>
        <w:t xml:space="preserve">respectivamente, alcanzando así  un </w:t>
      </w:r>
      <w:r>
        <w:rPr>
          <w:rFonts w:ascii="Trebuchet MS" w:hAnsi="Trebuchet MS"/>
          <w:sz w:val="16"/>
          <w:szCs w:val="16"/>
        </w:rPr>
        <w:t>27.4</w:t>
      </w:r>
      <w:r w:rsidRPr="000E3FD3">
        <w:rPr>
          <w:rFonts w:ascii="Trebuchet MS" w:hAnsi="Trebuchet MS"/>
          <w:sz w:val="16"/>
          <w:szCs w:val="16"/>
        </w:rPr>
        <w:t>% en su Plan de Acción.</w:t>
      </w:r>
    </w:p>
    <w:p w:rsidR="006B3831" w:rsidRPr="000E3FD3" w:rsidRDefault="006B3831" w:rsidP="006B3831">
      <w:pPr>
        <w:jc w:val="both"/>
        <w:rPr>
          <w:rFonts w:ascii="Trebuchet MS" w:hAnsi="Trebuchet MS"/>
          <w:sz w:val="16"/>
          <w:szCs w:val="16"/>
        </w:rPr>
      </w:pPr>
      <w:r w:rsidRPr="000E3FD3">
        <w:rPr>
          <w:rFonts w:ascii="Trebuchet MS" w:hAnsi="Trebuchet MS"/>
          <w:sz w:val="16"/>
          <w:szCs w:val="16"/>
        </w:rPr>
        <w:t xml:space="preserve">A continuación se muestra una gráfica que representa el cumplimiento de cada una de las subgerencias que pertenecen al plan de acción de esta Gerencia Seccional durante el I Semestre: </w:t>
      </w:r>
    </w:p>
    <w:p w:rsidR="006B3831" w:rsidRDefault="006B3831" w:rsidP="006B3831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681C7543" wp14:editId="643D4426">
            <wp:extent cx="5557962" cy="2329733"/>
            <wp:effectExtent l="0" t="0" r="24130" b="13970"/>
            <wp:docPr id="63" name="Gráfico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6B3831" w:rsidRDefault="006B3831" w:rsidP="006B3831">
      <w:pPr>
        <w:jc w:val="both"/>
        <w:rPr>
          <w:rFonts w:ascii="Trebuchet MS" w:hAnsi="Trebuchet MS"/>
          <w:sz w:val="16"/>
          <w:szCs w:val="16"/>
        </w:rPr>
      </w:pPr>
      <w:r w:rsidRPr="00210F07">
        <w:rPr>
          <w:rFonts w:ascii="Trebuchet MS" w:hAnsi="Trebuchet MS"/>
          <w:sz w:val="16"/>
          <w:szCs w:val="16"/>
        </w:rPr>
        <w:t xml:space="preserve">En la siguiente grafica presentamos la ejecución por </w:t>
      </w:r>
      <w:r>
        <w:rPr>
          <w:rFonts w:ascii="Trebuchet MS" w:hAnsi="Trebuchet MS"/>
          <w:sz w:val="16"/>
          <w:szCs w:val="16"/>
        </w:rPr>
        <w:t>Se</w:t>
      </w:r>
      <w:r w:rsidRPr="00210F07">
        <w:rPr>
          <w:rFonts w:ascii="Trebuchet MS" w:hAnsi="Trebuchet MS"/>
          <w:sz w:val="16"/>
          <w:szCs w:val="16"/>
        </w:rPr>
        <w:t>mestre en cuanto a las metas d</w:t>
      </w:r>
      <w:r>
        <w:rPr>
          <w:rFonts w:ascii="Trebuchet MS" w:hAnsi="Trebuchet MS"/>
          <w:sz w:val="16"/>
          <w:szCs w:val="16"/>
        </w:rPr>
        <w:t>el Plan de acción y lo comprometido</w:t>
      </w:r>
      <w:r w:rsidRPr="00210F07">
        <w:rPr>
          <w:rFonts w:ascii="Trebuchet MS" w:hAnsi="Trebuchet MS"/>
          <w:sz w:val="16"/>
          <w:szCs w:val="16"/>
        </w:rPr>
        <w:t xml:space="preserve"> presupuestal.</w:t>
      </w:r>
    </w:p>
    <w:p w:rsidR="006B3831" w:rsidRPr="000E3FD3" w:rsidRDefault="00B0498B" w:rsidP="006B3831">
      <w:pPr>
        <w:jc w:val="center"/>
        <w:rPr>
          <w:rFonts w:ascii="Trebuchet MS" w:hAnsi="Trebuchet MS"/>
          <w:sz w:val="16"/>
          <w:szCs w:val="16"/>
        </w:rPr>
      </w:pPr>
      <w:r>
        <w:rPr>
          <w:noProof/>
          <w:lang w:eastAsia="es-CO"/>
        </w:rPr>
        <w:drawing>
          <wp:inline distT="0" distB="0" distL="0" distR="0" wp14:anchorId="3FFB7E22" wp14:editId="06263449">
            <wp:extent cx="5572125" cy="2743200"/>
            <wp:effectExtent l="0" t="0" r="9525" b="19050"/>
            <wp:docPr id="64" name="Gráfico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713FDA" w:rsidRPr="005F4C20" w:rsidRDefault="002E666F" w:rsidP="00616051">
      <w:pPr>
        <w:jc w:val="center"/>
        <w:rPr>
          <w:rFonts w:ascii="Trebuchet MS" w:hAnsi="Trebuchet MS"/>
          <w:b/>
          <w:sz w:val="32"/>
          <w:szCs w:val="32"/>
        </w:rPr>
      </w:pPr>
      <w:r w:rsidRPr="005F4C20">
        <w:rPr>
          <w:rFonts w:ascii="Trebuchet MS" w:hAnsi="Trebuchet MS"/>
          <w:b/>
          <w:sz w:val="32"/>
          <w:szCs w:val="32"/>
        </w:rPr>
        <w:lastRenderedPageBreak/>
        <w:t>Semaforización Cumplimiento Global Seccionales</w:t>
      </w:r>
    </w:p>
    <w:p w:rsidR="006A60BC" w:rsidRPr="00E042B4" w:rsidRDefault="00E042B4" w:rsidP="00E042B4">
      <w:pPr>
        <w:spacing w:after="0" w:line="240" w:lineRule="auto"/>
        <w:jc w:val="both"/>
        <w:rPr>
          <w:rFonts w:ascii="Trebuchet MS" w:hAnsi="Trebuchet MS"/>
          <w:bCs/>
          <w:sz w:val="20"/>
          <w:szCs w:val="28"/>
        </w:rPr>
      </w:pPr>
      <w:r w:rsidRPr="00E042B4">
        <w:rPr>
          <w:rFonts w:ascii="Trebuchet MS" w:hAnsi="Trebuchet MS"/>
          <w:bCs/>
          <w:sz w:val="20"/>
          <w:szCs w:val="28"/>
        </w:rPr>
        <w:t xml:space="preserve">Con la finalidad de hacerle seguimiento al plan de acción </w:t>
      </w:r>
      <w:r>
        <w:rPr>
          <w:rFonts w:ascii="Trebuchet MS" w:hAnsi="Trebuchet MS"/>
          <w:bCs/>
          <w:sz w:val="20"/>
          <w:szCs w:val="28"/>
        </w:rPr>
        <w:t>de</w:t>
      </w:r>
      <w:r w:rsidRPr="00E042B4">
        <w:rPr>
          <w:rFonts w:ascii="Trebuchet MS" w:hAnsi="Trebuchet MS"/>
          <w:bCs/>
          <w:sz w:val="20"/>
          <w:szCs w:val="28"/>
        </w:rPr>
        <w:t xml:space="preserve"> las seccionales</w:t>
      </w:r>
      <w:r>
        <w:rPr>
          <w:rFonts w:ascii="Trebuchet MS" w:hAnsi="Trebuchet MS"/>
          <w:bCs/>
          <w:sz w:val="20"/>
          <w:szCs w:val="28"/>
        </w:rPr>
        <w:t>,</w:t>
      </w:r>
      <w:r w:rsidRPr="00E042B4">
        <w:rPr>
          <w:rFonts w:ascii="Trebuchet MS" w:hAnsi="Trebuchet MS"/>
          <w:bCs/>
          <w:sz w:val="20"/>
          <w:szCs w:val="28"/>
        </w:rPr>
        <w:t xml:space="preserve"> se </w:t>
      </w:r>
      <w:r>
        <w:rPr>
          <w:rFonts w:ascii="Trebuchet MS" w:hAnsi="Trebuchet MS"/>
          <w:bCs/>
          <w:sz w:val="20"/>
          <w:szCs w:val="28"/>
        </w:rPr>
        <w:t xml:space="preserve">ha </w:t>
      </w:r>
      <w:r w:rsidRPr="00E042B4">
        <w:rPr>
          <w:rFonts w:ascii="Trebuchet MS" w:hAnsi="Trebuchet MS"/>
          <w:bCs/>
          <w:sz w:val="20"/>
          <w:szCs w:val="28"/>
        </w:rPr>
        <w:t>adoptado una metodología, que teniendo en cuenta e</w:t>
      </w:r>
      <w:r>
        <w:rPr>
          <w:rFonts w:ascii="Trebuchet MS" w:hAnsi="Trebuchet MS"/>
          <w:bCs/>
          <w:sz w:val="20"/>
          <w:szCs w:val="28"/>
        </w:rPr>
        <w:t>l porcentaje de cumplimiento</w:t>
      </w:r>
      <w:r w:rsidR="00276026">
        <w:rPr>
          <w:rFonts w:ascii="Trebuchet MS" w:hAnsi="Trebuchet MS"/>
          <w:bCs/>
          <w:sz w:val="20"/>
          <w:szCs w:val="28"/>
        </w:rPr>
        <w:t>,</w:t>
      </w:r>
      <w:r>
        <w:rPr>
          <w:rFonts w:ascii="Trebuchet MS" w:hAnsi="Trebuchet MS"/>
          <w:bCs/>
          <w:sz w:val="20"/>
          <w:szCs w:val="28"/>
        </w:rPr>
        <w:t xml:space="preserve"> se ubica en un rango asociado con un  color que identifica el  estado del desempeño de este mismo. Como se muestra a continuación: </w:t>
      </w:r>
    </w:p>
    <w:p w:rsidR="006A60BC" w:rsidRDefault="006A60BC" w:rsidP="006A60BC">
      <w:pPr>
        <w:spacing w:after="0" w:line="240" w:lineRule="auto"/>
        <w:rPr>
          <w:rFonts w:ascii="Trebuchet MS" w:hAnsi="Trebuchet MS"/>
          <w:b/>
          <w:bCs/>
          <w:sz w:val="20"/>
          <w:szCs w:val="28"/>
          <w:highlight w:val="red"/>
        </w:rPr>
      </w:pPr>
    </w:p>
    <w:p w:rsidR="006A60BC" w:rsidRPr="006A60BC" w:rsidRDefault="006A60BC" w:rsidP="006A60BC">
      <w:pPr>
        <w:spacing w:after="0" w:line="240" w:lineRule="auto"/>
        <w:rPr>
          <w:rFonts w:ascii="Trebuchet MS" w:hAnsi="Trebuchet MS"/>
          <w:sz w:val="20"/>
          <w:szCs w:val="28"/>
        </w:rPr>
      </w:pPr>
      <w:r w:rsidRPr="006A60BC">
        <w:rPr>
          <w:rFonts w:ascii="Trebuchet MS" w:hAnsi="Trebuchet MS"/>
          <w:b/>
          <w:bCs/>
          <w:sz w:val="20"/>
          <w:szCs w:val="28"/>
          <w:highlight w:val="red"/>
        </w:rPr>
        <w:t>Rojo</w:t>
      </w:r>
      <w:r w:rsidRPr="006A60BC">
        <w:rPr>
          <w:rFonts w:ascii="Trebuchet MS" w:hAnsi="Trebuchet MS"/>
          <w:b/>
          <w:sz w:val="20"/>
          <w:szCs w:val="28"/>
          <w:highlight w:val="red"/>
        </w:rPr>
        <w:t>:</w:t>
      </w:r>
      <w:r>
        <w:rPr>
          <w:rFonts w:ascii="Trebuchet MS" w:hAnsi="Trebuchet MS"/>
          <w:b/>
          <w:sz w:val="20"/>
          <w:szCs w:val="28"/>
        </w:rPr>
        <w:t xml:space="preserve"> (&lt;40%)</w:t>
      </w:r>
      <w:r w:rsidRPr="006A60BC">
        <w:rPr>
          <w:rFonts w:ascii="Trebuchet MS" w:hAnsi="Trebuchet MS"/>
          <w:b/>
          <w:sz w:val="20"/>
          <w:szCs w:val="28"/>
        </w:rPr>
        <w:t xml:space="preserve"> </w:t>
      </w:r>
      <w:r w:rsidRPr="006A60BC">
        <w:rPr>
          <w:rFonts w:ascii="Trebuchet MS" w:hAnsi="Trebuchet MS"/>
          <w:sz w:val="20"/>
          <w:szCs w:val="28"/>
        </w:rPr>
        <w:t>Indica que existe un problema</w:t>
      </w:r>
    </w:p>
    <w:p w:rsidR="006A60BC" w:rsidRPr="006A60BC" w:rsidRDefault="006A60BC" w:rsidP="006A60BC">
      <w:pPr>
        <w:spacing w:after="0" w:line="240" w:lineRule="auto"/>
        <w:rPr>
          <w:rFonts w:ascii="Trebuchet MS" w:hAnsi="Trebuchet MS"/>
          <w:sz w:val="20"/>
          <w:szCs w:val="28"/>
        </w:rPr>
      </w:pPr>
      <w:r w:rsidRPr="006A60BC">
        <w:rPr>
          <w:rFonts w:ascii="Trebuchet MS" w:hAnsi="Trebuchet MS"/>
          <w:b/>
          <w:bCs/>
          <w:sz w:val="20"/>
          <w:szCs w:val="28"/>
          <w:highlight w:val="yellow"/>
        </w:rPr>
        <w:t>Amarillo</w:t>
      </w:r>
      <w:r w:rsidRPr="006A60BC">
        <w:rPr>
          <w:rFonts w:ascii="Trebuchet MS" w:hAnsi="Trebuchet MS"/>
          <w:b/>
          <w:sz w:val="20"/>
          <w:szCs w:val="28"/>
          <w:highlight w:val="yellow"/>
        </w:rPr>
        <w:t>:</w:t>
      </w:r>
      <w:r w:rsidRPr="006A60BC">
        <w:rPr>
          <w:rFonts w:ascii="Trebuchet MS" w:hAnsi="Trebuchet MS"/>
          <w:b/>
          <w:sz w:val="20"/>
          <w:szCs w:val="28"/>
        </w:rPr>
        <w:t xml:space="preserve"> </w:t>
      </w:r>
      <w:r>
        <w:rPr>
          <w:rFonts w:ascii="Trebuchet MS" w:hAnsi="Trebuchet MS"/>
          <w:b/>
          <w:sz w:val="20"/>
          <w:szCs w:val="28"/>
        </w:rPr>
        <w:t xml:space="preserve">(40%-49.9%) </w:t>
      </w:r>
      <w:r w:rsidRPr="006A60BC">
        <w:rPr>
          <w:rFonts w:ascii="Trebuchet MS" w:hAnsi="Trebuchet MS"/>
          <w:sz w:val="20"/>
          <w:szCs w:val="28"/>
        </w:rPr>
        <w:t>Indica que se deben tomar precauciones para no tener problemas</w:t>
      </w:r>
    </w:p>
    <w:p w:rsidR="006A60BC" w:rsidRPr="006A60BC" w:rsidRDefault="006A60BC" w:rsidP="006A60BC">
      <w:pPr>
        <w:spacing w:after="0" w:line="240" w:lineRule="auto"/>
        <w:rPr>
          <w:rFonts w:ascii="Trebuchet MS" w:hAnsi="Trebuchet MS"/>
          <w:sz w:val="20"/>
          <w:szCs w:val="28"/>
        </w:rPr>
      </w:pPr>
      <w:r w:rsidRPr="006A60BC">
        <w:rPr>
          <w:rFonts w:ascii="Trebuchet MS" w:hAnsi="Trebuchet MS"/>
          <w:b/>
          <w:bCs/>
          <w:sz w:val="20"/>
          <w:szCs w:val="28"/>
          <w:highlight w:val="darkGreen"/>
        </w:rPr>
        <w:t>Verde</w:t>
      </w:r>
      <w:r w:rsidRPr="006A60BC">
        <w:rPr>
          <w:rFonts w:ascii="Trebuchet MS" w:hAnsi="Trebuchet MS"/>
          <w:b/>
          <w:sz w:val="20"/>
          <w:szCs w:val="28"/>
          <w:highlight w:val="darkGreen"/>
        </w:rPr>
        <w:t>:</w:t>
      </w:r>
      <w:r w:rsidRPr="006A60BC">
        <w:rPr>
          <w:rFonts w:ascii="Trebuchet MS" w:hAnsi="Trebuchet MS"/>
          <w:b/>
          <w:sz w:val="20"/>
          <w:szCs w:val="28"/>
        </w:rPr>
        <w:t xml:space="preserve"> </w:t>
      </w:r>
      <w:r w:rsidR="00E042B4">
        <w:rPr>
          <w:rFonts w:ascii="Trebuchet MS" w:hAnsi="Trebuchet MS"/>
          <w:b/>
          <w:sz w:val="20"/>
          <w:szCs w:val="28"/>
        </w:rPr>
        <w:t xml:space="preserve">(&gt;50%) </w:t>
      </w:r>
      <w:r w:rsidRPr="006A60BC">
        <w:rPr>
          <w:rFonts w:ascii="Trebuchet MS" w:hAnsi="Trebuchet MS"/>
          <w:sz w:val="20"/>
          <w:szCs w:val="28"/>
        </w:rPr>
        <w:t xml:space="preserve">Indica que todo está bajo control </w:t>
      </w:r>
    </w:p>
    <w:p w:rsidR="005F4C20" w:rsidRDefault="005F4C20" w:rsidP="006A60BC">
      <w:pPr>
        <w:rPr>
          <w:rFonts w:ascii="Trebuchet MS" w:hAnsi="Trebuchet MS"/>
          <w:b/>
          <w:sz w:val="28"/>
          <w:szCs w:val="28"/>
        </w:rPr>
      </w:pPr>
    </w:p>
    <w:tbl>
      <w:tblPr>
        <w:tblStyle w:val="Sombreadomedio2-nfasis3"/>
        <w:tblW w:w="0" w:type="auto"/>
        <w:tblLook w:val="04A0" w:firstRow="1" w:lastRow="0" w:firstColumn="1" w:lastColumn="0" w:noHBand="0" w:noVBand="1"/>
      </w:tblPr>
      <w:tblGrid>
        <w:gridCol w:w="1491"/>
        <w:gridCol w:w="1489"/>
        <w:gridCol w:w="1489"/>
        <w:gridCol w:w="1593"/>
        <w:gridCol w:w="1843"/>
        <w:gridCol w:w="1149"/>
      </w:tblGrid>
      <w:tr w:rsidR="005F1259" w:rsidRPr="002E666F" w:rsidTr="00C12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F" w:rsidRPr="005F4C20" w:rsidRDefault="002E666F" w:rsidP="00C12144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F4C20">
              <w:rPr>
                <w:rFonts w:ascii="Trebuchet MS" w:hAnsi="Trebuchet MS"/>
                <w:color w:val="000000" w:themeColor="text1"/>
                <w:sz w:val="20"/>
                <w:szCs w:val="20"/>
              </w:rPr>
              <w:t>Seccional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F" w:rsidRPr="005F4C20" w:rsidRDefault="002E666F" w:rsidP="00C12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F4C20">
              <w:rPr>
                <w:rFonts w:ascii="Trebuchet MS" w:hAnsi="Trebuchet MS"/>
                <w:color w:val="000000" w:themeColor="text1"/>
                <w:sz w:val="20"/>
                <w:szCs w:val="20"/>
              </w:rPr>
              <w:t>Su. Animal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F" w:rsidRPr="005F4C20" w:rsidRDefault="002E666F" w:rsidP="00C12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F4C20">
              <w:rPr>
                <w:rFonts w:ascii="Trebuchet MS" w:hAnsi="Trebuchet MS"/>
                <w:color w:val="000000" w:themeColor="text1"/>
                <w:sz w:val="20"/>
                <w:szCs w:val="20"/>
              </w:rPr>
              <w:t>Sub. vegetal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F" w:rsidRPr="005F4C20" w:rsidRDefault="002E666F" w:rsidP="00C12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F4C20">
              <w:rPr>
                <w:rFonts w:ascii="Trebuchet MS" w:hAnsi="Trebuchet MS"/>
                <w:color w:val="000000" w:themeColor="text1"/>
                <w:sz w:val="20"/>
                <w:szCs w:val="20"/>
              </w:rPr>
              <w:t>Sub. Fronteras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F" w:rsidRPr="005F4C20" w:rsidRDefault="002E666F" w:rsidP="00C12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F4C20">
              <w:rPr>
                <w:rFonts w:ascii="Trebuchet MS" w:hAnsi="Trebuchet MS"/>
                <w:color w:val="000000" w:themeColor="text1"/>
                <w:sz w:val="20"/>
                <w:szCs w:val="20"/>
              </w:rPr>
              <w:t>Sub. Diagnósticos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F" w:rsidRPr="005F4C20" w:rsidRDefault="002E666F" w:rsidP="00C12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F4C20">
              <w:rPr>
                <w:rFonts w:ascii="Trebuchet MS" w:hAnsi="Trebuchet MS"/>
                <w:color w:val="000000" w:themeColor="text1"/>
                <w:sz w:val="20"/>
                <w:szCs w:val="20"/>
              </w:rPr>
              <w:t>Resultado Promedio</w:t>
            </w:r>
          </w:p>
        </w:tc>
      </w:tr>
      <w:tr w:rsidR="00C12144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Caquetá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52.3%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91.3%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62.9%</w:t>
            </w:r>
          </w:p>
        </w:tc>
      </w:tr>
      <w:tr w:rsidR="00C12144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Cordoba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57.8%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57%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63B5E" w:rsidRPr="00C12144" w:rsidRDefault="00063B5E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58.3%</w:t>
            </w:r>
          </w:p>
        </w:tc>
      </w:tr>
      <w:tr w:rsidR="00C12144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Risaralda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46.3%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DF3261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E" w:rsidRPr="00C12144" w:rsidRDefault="00063B5E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63B5E" w:rsidRPr="00C12144" w:rsidRDefault="00DF3261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55.1</w:t>
            </w:r>
            <w:r w:rsidR="00063B5E"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4E0AE5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/>
                <w:color w:val="000000" w:themeColor="text1"/>
                <w:sz w:val="18"/>
                <w:szCs w:val="18"/>
              </w:rPr>
              <w:t>Bolivar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4E0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4E0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24%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4E0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69.5%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4E0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74%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A38B9" w:rsidRPr="00C12144" w:rsidRDefault="00AA38B9" w:rsidP="004E0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55%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Quindio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49.4%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58.5%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54.5%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46.3%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55%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54%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Cundinamarca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49%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50.3%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53.8%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Valle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46%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61%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52.5%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Boyacá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50.2%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72%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52.4%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144">
              <w:rPr>
                <w:rFonts w:ascii="Arial" w:hAnsi="Arial" w:cs="Arial"/>
                <w:color w:val="000000" w:themeColor="text1"/>
                <w:sz w:val="18"/>
                <w:szCs w:val="18"/>
              </w:rPr>
              <w:t>Putumayo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40.3%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49.1%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Guaviare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58.2%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49.1%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Atlántico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54%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55%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42.3%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44%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48.9%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Tolima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43.6%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44%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48.4%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Nariño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54.8%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45.3%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48.1%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Caldas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66%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37.7%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38%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47.4%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Antioquia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53.5%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50.1%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47.4%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Cauca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54%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50.6%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45.9%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Sucre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54%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50.2%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30.1%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44.8%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Huila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45.1%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31%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43.6%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Choco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49%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37.4%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43.3%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Magdalena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35.8%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41.4%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44%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40.8%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Guainia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43.2%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40.6%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Vichada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33.8%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39.4%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Santander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42.4%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37.6%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21%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39.1%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N. Santander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37%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51%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37.8%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Cesar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38%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35.7%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Casanare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31.9%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27.4%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34.8%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Guajira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33%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48.2%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15%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32.1%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Amazonas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18%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48.2%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29.4%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31.9%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Arauca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53%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38.4%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32%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30.8%</w:t>
            </w:r>
          </w:p>
        </w:tc>
      </w:tr>
      <w:tr w:rsidR="00AA38B9" w:rsidRPr="00C12144" w:rsidTr="00C12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San Andres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35%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29.7%</w:t>
            </w:r>
          </w:p>
        </w:tc>
      </w:tr>
      <w:tr w:rsidR="00AA38B9" w:rsidRPr="00C12144" w:rsidTr="00C12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color w:val="000000" w:themeColor="text1"/>
                <w:sz w:val="18"/>
                <w:szCs w:val="18"/>
              </w:rPr>
              <w:t>Vaupes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17%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  <w:t>22.1%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38B9" w:rsidRPr="00C12144" w:rsidRDefault="00AA38B9" w:rsidP="00C1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C12144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19.6%</w:t>
            </w:r>
          </w:p>
        </w:tc>
      </w:tr>
    </w:tbl>
    <w:p w:rsidR="001A2A1C" w:rsidRDefault="001A2A1C" w:rsidP="00E042B4">
      <w:pPr>
        <w:rPr>
          <w:rFonts w:ascii="Trebuchet MS" w:hAnsi="Trebuchet MS"/>
          <w:b/>
          <w:sz w:val="28"/>
          <w:szCs w:val="28"/>
        </w:rPr>
      </w:pPr>
    </w:p>
    <w:p w:rsidR="00E042B4" w:rsidRDefault="00E042B4" w:rsidP="00E042B4">
      <w:pPr>
        <w:rPr>
          <w:rFonts w:ascii="Trebuchet MS" w:hAnsi="Trebuchet MS"/>
          <w:b/>
          <w:sz w:val="28"/>
          <w:szCs w:val="28"/>
        </w:rPr>
      </w:pPr>
    </w:p>
    <w:p w:rsidR="00E042B4" w:rsidRDefault="00E042B4" w:rsidP="00E042B4">
      <w:pPr>
        <w:rPr>
          <w:rFonts w:ascii="Trebuchet MS" w:hAnsi="Trebuchet MS"/>
        </w:rPr>
      </w:pPr>
    </w:p>
    <w:p w:rsidR="001A2A1C" w:rsidRDefault="001A2A1C" w:rsidP="00BA65CA">
      <w:pPr>
        <w:jc w:val="center"/>
        <w:rPr>
          <w:rFonts w:ascii="Trebuchet MS" w:hAnsi="Trebuchet MS"/>
        </w:rPr>
      </w:pPr>
    </w:p>
    <w:p w:rsidR="001A2A1C" w:rsidRDefault="001A2A1C" w:rsidP="00BA65CA">
      <w:pPr>
        <w:jc w:val="center"/>
        <w:rPr>
          <w:rFonts w:ascii="Trebuchet MS" w:hAnsi="Trebuchet MS"/>
        </w:rPr>
      </w:pPr>
    </w:p>
    <w:p w:rsidR="001A2A1C" w:rsidRDefault="00492DA7" w:rsidP="00BA65CA">
      <w:pPr>
        <w:jc w:val="center"/>
        <w:rPr>
          <w:rFonts w:ascii="Trebuchet MS" w:hAnsi="Trebuchet MS"/>
          <w:b/>
        </w:rPr>
      </w:pPr>
      <w:r w:rsidRPr="00492DA7">
        <w:rPr>
          <w:rFonts w:ascii="Trebuchet MS" w:hAnsi="Trebuchet MS"/>
          <w:b/>
        </w:rPr>
        <w:lastRenderedPageBreak/>
        <w:t>RECOMENDACIONES</w:t>
      </w:r>
    </w:p>
    <w:p w:rsidR="00DE1CD6" w:rsidRDefault="00DE1CD6" w:rsidP="00BA65CA">
      <w:pPr>
        <w:jc w:val="center"/>
        <w:rPr>
          <w:rFonts w:ascii="Trebuchet MS" w:hAnsi="Trebuchet MS"/>
          <w:b/>
        </w:rPr>
      </w:pPr>
    </w:p>
    <w:p w:rsidR="008A2121" w:rsidRPr="003143C2" w:rsidRDefault="008A2121" w:rsidP="003C263B">
      <w:pPr>
        <w:pStyle w:val="Prrafodelista"/>
        <w:numPr>
          <w:ilvl w:val="0"/>
          <w:numId w:val="1"/>
        </w:numPr>
        <w:ind w:left="0" w:firstLine="0"/>
        <w:jc w:val="both"/>
        <w:rPr>
          <w:rFonts w:ascii="Trebuchet MS" w:hAnsi="Trebuchet MS"/>
        </w:rPr>
      </w:pPr>
      <w:r w:rsidRPr="003143C2">
        <w:rPr>
          <w:rFonts w:ascii="Trebuchet MS" w:hAnsi="Trebuchet MS"/>
        </w:rPr>
        <w:t>Teniendo en cuenta que</w:t>
      </w:r>
      <w:r w:rsidR="00A85A52" w:rsidRPr="003143C2">
        <w:rPr>
          <w:rFonts w:ascii="Trebuchet MS" w:hAnsi="Trebuchet MS"/>
        </w:rPr>
        <w:t xml:space="preserve"> en el Plan de Acción </w:t>
      </w:r>
      <w:r w:rsidR="00A85A52" w:rsidRPr="003143C2">
        <w:rPr>
          <w:rFonts w:ascii="Trebuchet MS" w:hAnsi="Trebuchet MS"/>
          <w:u w:val="single"/>
        </w:rPr>
        <w:t>Pecuario</w:t>
      </w:r>
      <w:r w:rsidRPr="003143C2">
        <w:rPr>
          <w:rFonts w:ascii="Trebuchet MS" w:hAnsi="Trebuchet MS"/>
        </w:rPr>
        <w:t xml:space="preserve"> se encontraron seccionales</w:t>
      </w:r>
      <w:r w:rsidR="00A85A52" w:rsidRPr="003143C2">
        <w:rPr>
          <w:rFonts w:ascii="Trebuchet MS" w:hAnsi="Trebuchet MS"/>
        </w:rPr>
        <w:t xml:space="preserve"> tales como: </w:t>
      </w:r>
      <w:r w:rsidR="003C263B" w:rsidRPr="003143C2">
        <w:rPr>
          <w:rFonts w:ascii="Trebuchet MS" w:hAnsi="Trebuchet MS"/>
        </w:rPr>
        <w:t>Amazonas, Antioquia, Bolivar, Cesar, Cordoba, Magdalena, Meta, Quindio, Santander, Vaupes y Vichada;</w:t>
      </w:r>
      <w:r w:rsidRPr="003143C2">
        <w:rPr>
          <w:rFonts w:ascii="Trebuchet MS" w:hAnsi="Trebuchet MS"/>
        </w:rPr>
        <w:t xml:space="preserve"> </w:t>
      </w:r>
      <w:r w:rsidR="00DE1CD6" w:rsidRPr="003143C2">
        <w:rPr>
          <w:rFonts w:ascii="Trebuchet MS" w:hAnsi="Trebuchet MS"/>
        </w:rPr>
        <w:t>que</w:t>
      </w:r>
      <w:r w:rsidRPr="003143C2">
        <w:rPr>
          <w:rFonts w:ascii="Trebuchet MS" w:hAnsi="Trebuchet MS"/>
        </w:rPr>
        <w:t xml:space="preserve"> no </w:t>
      </w:r>
      <w:r w:rsidR="00A85A52" w:rsidRPr="003143C2">
        <w:rPr>
          <w:rFonts w:ascii="Trebuchet MS" w:hAnsi="Trebuchet MS"/>
        </w:rPr>
        <w:t>tienen</w:t>
      </w:r>
      <w:r w:rsidRPr="003143C2">
        <w:rPr>
          <w:rFonts w:ascii="Trebuchet MS" w:hAnsi="Trebuchet MS"/>
        </w:rPr>
        <w:t xml:space="preserve"> </w:t>
      </w:r>
      <w:r w:rsidR="003C263B" w:rsidRPr="003143C2">
        <w:rPr>
          <w:rFonts w:ascii="Trebuchet MS" w:hAnsi="Trebuchet MS"/>
        </w:rPr>
        <w:t>ingresada la</w:t>
      </w:r>
      <w:r w:rsidRPr="003143C2">
        <w:rPr>
          <w:rFonts w:ascii="Trebuchet MS" w:hAnsi="Trebuchet MS"/>
        </w:rPr>
        <w:t xml:space="preserve"> información (ponderación, línea base y meta) con respecto a las acciones estratégicas:</w:t>
      </w:r>
      <w:r w:rsidR="003C263B" w:rsidRPr="003143C2">
        <w:rPr>
          <w:rFonts w:ascii="Trebuchet MS" w:hAnsi="Trebuchet MS"/>
        </w:rPr>
        <w:t xml:space="preserve"> </w:t>
      </w:r>
      <w:r w:rsidRPr="003143C2">
        <w:rPr>
          <w:rFonts w:ascii="Trebuchet MS" w:hAnsi="Trebuchet MS"/>
          <w:u w:val="single"/>
        </w:rPr>
        <w:t>Zonas libres y de baja prevalencia enfermedades animales - Erradicación de Brucelosis</w:t>
      </w:r>
      <w:r w:rsidRPr="003143C2">
        <w:rPr>
          <w:rFonts w:ascii="Trebuchet MS" w:hAnsi="Trebuchet MS"/>
        </w:rPr>
        <w:t>.</w:t>
      </w:r>
      <w:r w:rsidR="003C263B" w:rsidRPr="003143C2">
        <w:rPr>
          <w:rFonts w:ascii="Trebuchet MS" w:hAnsi="Trebuchet MS"/>
        </w:rPr>
        <w:t xml:space="preserve"> </w:t>
      </w:r>
      <w:r w:rsidRPr="003143C2">
        <w:rPr>
          <w:rFonts w:ascii="Trebuchet MS" w:hAnsi="Trebuchet MS"/>
          <w:u w:val="single"/>
        </w:rPr>
        <w:t>Zonas libres y de baja prevalencia enfermedades animales - Erradicación de Tuberculosis</w:t>
      </w:r>
      <w:r w:rsidRPr="003143C2">
        <w:rPr>
          <w:rFonts w:ascii="Trebuchet MS" w:hAnsi="Trebuchet MS"/>
        </w:rPr>
        <w:t>.</w:t>
      </w:r>
      <w:r w:rsidR="003C263B" w:rsidRPr="003143C2">
        <w:rPr>
          <w:rFonts w:ascii="Trebuchet MS" w:hAnsi="Trebuchet MS"/>
        </w:rPr>
        <w:t xml:space="preserve"> </w:t>
      </w:r>
      <w:r w:rsidR="00A85A52" w:rsidRPr="003143C2">
        <w:rPr>
          <w:rFonts w:ascii="Trebuchet MS" w:hAnsi="Trebuchet MS"/>
          <w:u w:val="single"/>
        </w:rPr>
        <w:t>Zonas libres y de baja prevalencia enfermedades animales – Enfermedades A</w:t>
      </w:r>
      <w:r w:rsidR="003C263B" w:rsidRPr="003143C2">
        <w:rPr>
          <w:rFonts w:ascii="Trebuchet MS" w:hAnsi="Trebuchet MS"/>
          <w:u w:val="single"/>
        </w:rPr>
        <w:t>viares</w:t>
      </w:r>
      <w:r w:rsidR="003C263B" w:rsidRPr="003143C2">
        <w:rPr>
          <w:rFonts w:ascii="Trebuchet MS" w:hAnsi="Trebuchet MS"/>
        </w:rPr>
        <w:t xml:space="preserve">; </w:t>
      </w:r>
      <w:r w:rsidRPr="003143C2">
        <w:rPr>
          <w:rFonts w:ascii="Trebuchet MS" w:hAnsi="Trebuchet MS"/>
        </w:rPr>
        <w:t xml:space="preserve">Impidiendo hacer un seguimiento eficaz con respecto a su cumplimiento, por tal motivo se les sugiere </w:t>
      </w:r>
      <w:r w:rsidR="00A85A52" w:rsidRPr="003143C2">
        <w:rPr>
          <w:rFonts w:ascii="Trebuchet MS" w:hAnsi="Trebuchet MS"/>
        </w:rPr>
        <w:t>revisar estas acciones estratégicas, y/o solicitar asesoría a las Direcciones Técnicas correspondientes, en caso de que así se requiera.</w:t>
      </w:r>
    </w:p>
    <w:p w:rsidR="0042326F" w:rsidRDefault="0042326F" w:rsidP="0042326F">
      <w:pPr>
        <w:pStyle w:val="Prrafodelista"/>
        <w:ind w:left="0"/>
        <w:jc w:val="both"/>
        <w:rPr>
          <w:rFonts w:ascii="Trebuchet MS" w:hAnsi="Trebuchet MS"/>
        </w:rPr>
      </w:pPr>
    </w:p>
    <w:p w:rsidR="0042326F" w:rsidRDefault="005374BB" w:rsidP="0042326F">
      <w:pPr>
        <w:pStyle w:val="Prrafodelista"/>
        <w:numPr>
          <w:ilvl w:val="0"/>
          <w:numId w:val="1"/>
        </w:numPr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FE34B4">
        <w:rPr>
          <w:rFonts w:ascii="Trebuchet MS" w:hAnsi="Trebuchet MS"/>
        </w:rPr>
        <w:t xml:space="preserve">e recomienda a las Seccionales con bajo </w:t>
      </w:r>
      <w:r>
        <w:rPr>
          <w:rFonts w:ascii="Trebuchet MS" w:hAnsi="Trebuchet MS"/>
        </w:rPr>
        <w:t>rendimiento</w:t>
      </w:r>
      <w:r w:rsidR="00192E50">
        <w:rPr>
          <w:rFonts w:ascii="Trebuchet MS" w:hAnsi="Trebuchet MS"/>
        </w:rPr>
        <w:t xml:space="preserve"> global</w:t>
      </w:r>
      <w:r>
        <w:rPr>
          <w:rFonts w:ascii="Trebuchet MS" w:hAnsi="Trebuchet MS"/>
        </w:rPr>
        <w:t xml:space="preserve"> tales como: </w:t>
      </w:r>
      <w:r w:rsidR="00192E50">
        <w:rPr>
          <w:rFonts w:ascii="Trebuchet MS" w:hAnsi="Trebuchet MS"/>
        </w:rPr>
        <w:t xml:space="preserve">Vichada, Santander, Norte de Santander, Cesar, Casanare, Guajira, Amazonas, Arauca, san Andres y Vaupes; </w:t>
      </w:r>
      <w:r>
        <w:rPr>
          <w:rFonts w:ascii="Trebuchet MS" w:hAnsi="Trebuchet MS"/>
        </w:rPr>
        <w:t xml:space="preserve">reformular o replantear los métodos de trabajo para obtener las metas trazadas.  </w:t>
      </w:r>
    </w:p>
    <w:p w:rsidR="00192E50" w:rsidRPr="00192E50" w:rsidRDefault="00192E50" w:rsidP="00192E50">
      <w:pPr>
        <w:pStyle w:val="Prrafodelista"/>
        <w:rPr>
          <w:rFonts w:ascii="Trebuchet MS" w:hAnsi="Trebuchet MS"/>
        </w:rPr>
      </w:pPr>
    </w:p>
    <w:p w:rsidR="00192E50" w:rsidRDefault="00DE1CD6" w:rsidP="0042326F">
      <w:pPr>
        <w:pStyle w:val="Prrafodelista"/>
        <w:numPr>
          <w:ilvl w:val="0"/>
          <w:numId w:val="1"/>
        </w:numPr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Se recomienda a todas las seccionales la entrega oportuna de la información correspondiente al avance mensual del Plan de Acción direccionado a cada subgerencia y a la Oficina Asesora de Planeación para su debido seguimiento.</w:t>
      </w:r>
    </w:p>
    <w:p w:rsidR="00DE1CD6" w:rsidRPr="00DE1CD6" w:rsidRDefault="00DE1CD6" w:rsidP="00DE1CD6">
      <w:pPr>
        <w:pStyle w:val="Prrafodelista"/>
        <w:rPr>
          <w:rFonts w:ascii="Trebuchet MS" w:hAnsi="Trebuchet MS"/>
        </w:rPr>
      </w:pPr>
    </w:p>
    <w:p w:rsidR="003143C2" w:rsidRDefault="00DE1CD6" w:rsidP="00E042B4">
      <w:pPr>
        <w:pStyle w:val="Prrafodelista"/>
        <w:numPr>
          <w:ilvl w:val="0"/>
          <w:numId w:val="1"/>
        </w:numPr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Se le recomienda a todas las seccionales el ingreso y la actualización de las actividades relacionales con el Plan de Acción </w:t>
      </w:r>
      <w:r w:rsidR="003143C2">
        <w:rPr>
          <w:rFonts w:ascii="Trebuchet MS" w:hAnsi="Trebuchet MS"/>
        </w:rPr>
        <w:t>en el aplicativo Sistema de programación y seguimiento SPS.</w:t>
      </w:r>
    </w:p>
    <w:p w:rsidR="00E042B4" w:rsidRPr="00E042B4" w:rsidRDefault="00E042B4" w:rsidP="00E042B4">
      <w:pPr>
        <w:pStyle w:val="Prrafodelista"/>
        <w:rPr>
          <w:rFonts w:ascii="Trebuchet MS" w:hAnsi="Trebuchet MS"/>
        </w:rPr>
      </w:pPr>
    </w:p>
    <w:p w:rsidR="00276026" w:rsidRDefault="00E042B4" w:rsidP="00276026">
      <w:pPr>
        <w:pStyle w:val="Prrafodelista"/>
        <w:numPr>
          <w:ilvl w:val="0"/>
          <w:numId w:val="1"/>
        </w:numPr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Teniendo en cuenta que hasta la fecha se han realizado unos ajustes en algunas actividades, indicadores y metas, no se permite hacer alguna otra modificación durante el segundo semestre del año vigente; al menos que se presente un</w:t>
      </w:r>
      <w:r w:rsidR="00276026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 justificación, </w:t>
      </w:r>
      <w:r w:rsidR="00276026">
        <w:rPr>
          <w:rFonts w:ascii="Trebuchet MS" w:hAnsi="Trebuchet MS"/>
        </w:rPr>
        <w:t>valida</w:t>
      </w:r>
      <w:r>
        <w:rPr>
          <w:rFonts w:ascii="Trebuchet MS" w:hAnsi="Trebuchet MS"/>
        </w:rPr>
        <w:t xml:space="preserve"> con soportes a la </w:t>
      </w:r>
      <w:r w:rsidR="00276026">
        <w:rPr>
          <w:rFonts w:ascii="Trebuchet MS" w:hAnsi="Trebuchet MS"/>
        </w:rPr>
        <w:t>Dirección Técnica</w:t>
      </w:r>
      <w:r>
        <w:rPr>
          <w:rFonts w:ascii="Trebuchet MS" w:hAnsi="Trebuchet MS"/>
        </w:rPr>
        <w:t xml:space="preserve"> correspondiente.</w:t>
      </w:r>
    </w:p>
    <w:p w:rsidR="00276026" w:rsidRPr="00276026" w:rsidRDefault="00276026" w:rsidP="00276026">
      <w:pPr>
        <w:pStyle w:val="Prrafodelista"/>
        <w:rPr>
          <w:rFonts w:ascii="Trebuchet MS" w:hAnsi="Trebuchet MS"/>
        </w:rPr>
      </w:pPr>
    </w:p>
    <w:p w:rsidR="00A52D1D" w:rsidRPr="00A91FDC" w:rsidRDefault="00276026" w:rsidP="00A52D1D">
      <w:pPr>
        <w:pStyle w:val="Prrafodelista"/>
        <w:numPr>
          <w:ilvl w:val="0"/>
          <w:numId w:val="1"/>
        </w:numPr>
        <w:ind w:left="0" w:firstLine="0"/>
        <w:jc w:val="both"/>
        <w:rPr>
          <w:rFonts w:ascii="Trebuchet MS" w:hAnsi="Trebuchet MS"/>
        </w:rPr>
      </w:pPr>
      <w:r w:rsidRPr="00A91FDC">
        <w:rPr>
          <w:rFonts w:ascii="Trebuchet MS" w:hAnsi="Trebuchet MS"/>
        </w:rPr>
        <w:t xml:space="preserve">Teniendo en cuanta que todas las seccionales tienen un presupuesto comprometido mayor que la ejecución del Plan de Acción, </w:t>
      </w:r>
      <w:r w:rsidR="00A52D1D" w:rsidRPr="00A91FDC">
        <w:rPr>
          <w:rFonts w:ascii="Trebuchet MS" w:hAnsi="Trebuchet MS"/>
        </w:rPr>
        <w:t xml:space="preserve">se recomienda  realizar un balance al final de cada mes para determinar </w:t>
      </w:r>
      <w:r w:rsidR="00A91FDC" w:rsidRPr="00A91FDC">
        <w:rPr>
          <w:rFonts w:ascii="Trebuchet MS" w:hAnsi="Trebuchet MS"/>
        </w:rPr>
        <w:t>el grado de</w:t>
      </w:r>
      <w:r w:rsidR="00A52D1D" w:rsidRPr="00A91FDC">
        <w:rPr>
          <w:rFonts w:ascii="Trebuchet MS" w:hAnsi="Trebuchet MS"/>
        </w:rPr>
        <w:t xml:space="preserve"> cumpli</w:t>
      </w:r>
      <w:r w:rsidR="00A91FDC" w:rsidRPr="00A91FDC">
        <w:rPr>
          <w:rFonts w:ascii="Trebuchet MS" w:hAnsi="Trebuchet MS"/>
        </w:rPr>
        <w:t>miento tanto del plan de acción como de la ejecución presupuestal.</w:t>
      </w:r>
      <w:r w:rsidR="00A52D1D" w:rsidRPr="00A91FDC">
        <w:rPr>
          <w:rFonts w:ascii="Trebuchet MS" w:hAnsi="Trebuchet MS"/>
        </w:rPr>
        <w:t xml:space="preserve"> </w:t>
      </w:r>
    </w:p>
    <w:p w:rsidR="00276026" w:rsidRPr="00276026" w:rsidRDefault="00276026" w:rsidP="00A52D1D">
      <w:pPr>
        <w:pStyle w:val="Prrafodelista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5374BB" w:rsidRPr="005374BB" w:rsidRDefault="005374BB" w:rsidP="005374BB">
      <w:pPr>
        <w:pStyle w:val="Prrafodelista"/>
        <w:rPr>
          <w:rFonts w:ascii="Trebuchet MS" w:hAnsi="Trebuchet MS"/>
        </w:rPr>
      </w:pPr>
    </w:p>
    <w:p w:rsidR="005374BB" w:rsidRDefault="005374BB" w:rsidP="005374BB">
      <w:pPr>
        <w:pStyle w:val="Prrafodelista"/>
        <w:ind w:left="0"/>
        <w:jc w:val="both"/>
        <w:rPr>
          <w:rFonts w:ascii="Trebuchet MS" w:hAnsi="Trebuchet MS"/>
        </w:rPr>
      </w:pPr>
    </w:p>
    <w:p w:rsidR="005374BB" w:rsidRDefault="005374BB" w:rsidP="005374BB">
      <w:pPr>
        <w:pStyle w:val="Prrafodelista"/>
        <w:ind w:left="0"/>
        <w:jc w:val="both"/>
        <w:rPr>
          <w:rFonts w:ascii="Trebuchet MS" w:hAnsi="Trebuchet MS"/>
        </w:rPr>
      </w:pPr>
    </w:p>
    <w:p w:rsidR="005374BB" w:rsidRPr="0042326F" w:rsidRDefault="005374BB" w:rsidP="005374BB">
      <w:pPr>
        <w:pStyle w:val="Prrafodelista"/>
        <w:ind w:left="0"/>
        <w:jc w:val="both"/>
        <w:rPr>
          <w:rFonts w:ascii="Trebuchet MS" w:hAnsi="Trebuchet MS"/>
        </w:rPr>
      </w:pPr>
    </w:p>
    <w:p w:rsidR="0042326F" w:rsidRDefault="0042326F" w:rsidP="0042326F">
      <w:pPr>
        <w:pStyle w:val="Prrafodelista"/>
        <w:ind w:left="0"/>
        <w:jc w:val="both"/>
        <w:rPr>
          <w:rFonts w:ascii="Trebuchet MS" w:hAnsi="Trebuchet MS"/>
        </w:rPr>
      </w:pPr>
    </w:p>
    <w:p w:rsidR="00A85A52" w:rsidRDefault="00A85A52" w:rsidP="0042326F">
      <w:pPr>
        <w:pStyle w:val="Prrafodelista"/>
      </w:pPr>
    </w:p>
    <w:p w:rsidR="00A85A52" w:rsidRDefault="00A85A52" w:rsidP="008A2121">
      <w:pPr>
        <w:pStyle w:val="Prrafodelista"/>
      </w:pPr>
    </w:p>
    <w:p w:rsidR="00A85A52" w:rsidRPr="008A2121" w:rsidRDefault="00A85A52" w:rsidP="008A2121">
      <w:pPr>
        <w:pStyle w:val="Prrafodelista"/>
        <w:rPr>
          <w:rFonts w:ascii="Trebuchet MS" w:hAnsi="Trebuchet MS"/>
        </w:rPr>
      </w:pPr>
    </w:p>
    <w:p w:rsidR="008A2121" w:rsidRDefault="008A2121" w:rsidP="008A2121"/>
    <w:p w:rsidR="00492DA7" w:rsidRPr="008A2121" w:rsidRDefault="00492DA7" w:rsidP="00BA65CA">
      <w:pPr>
        <w:jc w:val="center"/>
        <w:rPr>
          <w:rFonts w:ascii="Trebuchet MS" w:hAnsi="Trebuchet MS"/>
        </w:rPr>
      </w:pPr>
    </w:p>
    <w:p w:rsidR="00492DA7" w:rsidRPr="00492DA7" w:rsidRDefault="00492DA7" w:rsidP="00BA65CA">
      <w:pPr>
        <w:jc w:val="center"/>
        <w:rPr>
          <w:rFonts w:ascii="Trebuchet MS" w:hAnsi="Trebuchet MS"/>
          <w:b/>
        </w:rPr>
      </w:pPr>
    </w:p>
    <w:sectPr w:rsidR="00492DA7" w:rsidRPr="00492D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7D49"/>
    <w:multiLevelType w:val="hybridMultilevel"/>
    <w:tmpl w:val="2312AB7A"/>
    <w:lvl w:ilvl="0" w:tplc="88F24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B5186"/>
    <w:multiLevelType w:val="hybridMultilevel"/>
    <w:tmpl w:val="F3C0936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D"/>
    <w:rsid w:val="000243F5"/>
    <w:rsid w:val="00025D1C"/>
    <w:rsid w:val="00031AEA"/>
    <w:rsid w:val="00032030"/>
    <w:rsid w:val="00063B5E"/>
    <w:rsid w:val="000836BA"/>
    <w:rsid w:val="000A3376"/>
    <w:rsid w:val="000E3C70"/>
    <w:rsid w:val="000E3FD3"/>
    <w:rsid w:val="000E5D8B"/>
    <w:rsid w:val="000F4E44"/>
    <w:rsid w:val="00147A93"/>
    <w:rsid w:val="001571F8"/>
    <w:rsid w:val="0017480B"/>
    <w:rsid w:val="00175F50"/>
    <w:rsid w:val="00191322"/>
    <w:rsid w:val="00192E50"/>
    <w:rsid w:val="00194365"/>
    <w:rsid w:val="00195510"/>
    <w:rsid w:val="001A2A1C"/>
    <w:rsid w:val="001B1858"/>
    <w:rsid w:val="001C38F7"/>
    <w:rsid w:val="001E78B2"/>
    <w:rsid w:val="00210F07"/>
    <w:rsid w:val="002326B3"/>
    <w:rsid w:val="00242414"/>
    <w:rsid w:val="00247812"/>
    <w:rsid w:val="0027094A"/>
    <w:rsid w:val="00276026"/>
    <w:rsid w:val="002772CC"/>
    <w:rsid w:val="00294607"/>
    <w:rsid w:val="002966CB"/>
    <w:rsid w:val="002A5EBF"/>
    <w:rsid w:val="002B299C"/>
    <w:rsid w:val="002B3F9A"/>
    <w:rsid w:val="002D253E"/>
    <w:rsid w:val="002E666F"/>
    <w:rsid w:val="00311FB0"/>
    <w:rsid w:val="003143C2"/>
    <w:rsid w:val="00381111"/>
    <w:rsid w:val="00384832"/>
    <w:rsid w:val="003A2DE6"/>
    <w:rsid w:val="003C263B"/>
    <w:rsid w:val="003C54AA"/>
    <w:rsid w:val="003D0D99"/>
    <w:rsid w:val="003D1ADC"/>
    <w:rsid w:val="003D20B1"/>
    <w:rsid w:val="003E03A8"/>
    <w:rsid w:val="003E537F"/>
    <w:rsid w:val="00401B83"/>
    <w:rsid w:val="004143E1"/>
    <w:rsid w:val="0042187A"/>
    <w:rsid w:val="0042326F"/>
    <w:rsid w:val="00426071"/>
    <w:rsid w:val="00430E6A"/>
    <w:rsid w:val="00433F11"/>
    <w:rsid w:val="00435F55"/>
    <w:rsid w:val="004638B1"/>
    <w:rsid w:val="004706C0"/>
    <w:rsid w:val="00492DA7"/>
    <w:rsid w:val="00496248"/>
    <w:rsid w:val="004A0711"/>
    <w:rsid w:val="004B1347"/>
    <w:rsid w:val="004C7A85"/>
    <w:rsid w:val="004E0AE5"/>
    <w:rsid w:val="004E3382"/>
    <w:rsid w:val="005046F4"/>
    <w:rsid w:val="00524291"/>
    <w:rsid w:val="00532AB4"/>
    <w:rsid w:val="00533B95"/>
    <w:rsid w:val="005374BB"/>
    <w:rsid w:val="00544CBC"/>
    <w:rsid w:val="00553AA9"/>
    <w:rsid w:val="0056341E"/>
    <w:rsid w:val="005811A5"/>
    <w:rsid w:val="00587F82"/>
    <w:rsid w:val="005927C1"/>
    <w:rsid w:val="00593C63"/>
    <w:rsid w:val="005E5941"/>
    <w:rsid w:val="005F1259"/>
    <w:rsid w:val="005F3BC8"/>
    <w:rsid w:val="005F4C20"/>
    <w:rsid w:val="00611A1F"/>
    <w:rsid w:val="00616051"/>
    <w:rsid w:val="00622A59"/>
    <w:rsid w:val="00623B7A"/>
    <w:rsid w:val="00630672"/>
    <w:rsid w:val="006653B3"/>
    <w:rsid w:val="00676350"/>
    <w:rsid w:val="00682B66"/>
    <w:rsid w:val="00683D39"/>
    <w:rsid w:val="00691B28"/>
    <w:rsid w:val="006979A0"/>
    <w:rsid w:val="006A60BC"/>
    <w:rsid w:val="006A70E9"/>
    <w:rsid w:val="006B3831"/>
    <w:rsid w:val="006E0B14"/>
    <w:rsid w:val="00701A86"/>
    <w:rsid w:val="00713FDA"/>
    <w:rsid w:val="00725D93"/>
    <w:rsid w:val="00746ADD"/>
    <w:rsid w:val="00757946"/>
    <w:rsid w:val="007637CA"/>
    <w:rsid w:val="00771391"/>
    <w:rsid w:val="0079339F"/>
    <w:rsid w:val="007A0BA1"/>
    <w:rsid w:val="007A0E59"/>
    <w:rsid w:val="007B27C5"/>
    <w:rsid w:val="007B55E1"/>
    <w:rsid w:val="007E46D8"/>
    <w:rsid w:val="007F2A9A"/>
    <w:rsid w:val="007F2C6B"/>
    <w:rsid w:val="00812816"/>
    <w:rsid w:val="00821F47"/>
    <w:rsid w:val="008447BB"/>
    <w:rsid w:val="00874FE3"/>
    <w:rsid w:val="008A2121"/>
    <w:rsid w:val="008B455B"/>
    <w:rsid w:val="008C4C7B"/>
    <w:rsid w:val="008C7223"/>
    <w:rsid w:val="008D3359"/>
    <w:rsid w:val="008F1B7D"/>
    <w:rsid w:val="0090657F"/>
    <w:rsid w:val="00906A66"/>
    <w:rsid w:val="00917E37"/>
    <w:rsid w:val="00942FD1"/>
    <w:rsid w:val="00981796"/>
    <w:rsid w:val="009A63D1"/>
    <w:rsid w:val="009D4161"/>
    <w:rsid w:val="009F559B"/>
    <w:rsid w:val="00A21949"/>
    <w:rsid w:val="00A26CFF"/>
    <w:rsid w:val="00A369B7"/>
    <w:rsid w:val="00A52D1D"/>
    <w:rsid w:val="00A655F8"/>
    <w:rsid w:val="00A735D5"/>
    <w:rsid w:val="00A841D6"/>
    <w:rsid w:val="00A85A52"/>
    <w:rsid w:val="00A91FDC"/>
    <w:rsid w:val="00AA38B9"/>
    <w:rsid w:val="00AB461A"/>
    <w:rsid w:val="00AC0663"/>
    <w:rsid w:val="00AE2FF8"/>
    <w:rsid w:val="00AE79E8"/>
    <w:rsid w:val="00AF2CB6"/>
    <w:rsid w:val="00AF44AE"/>
    <w:rsid w:val="00B0498B"/>
    <w:rsid w:val="00B11E5A"/>
    <w:rsid w:val="00B12100"/>
    <w:rsid w:val="00B30ED1"/>
    <w:rsid w:val="00B83612"/>
    <w:rsid w:val="00B8498D"/>
    <w:rsid w:val="00B869E3"/>
    <w:rsid w:val="00BA65CA"/>
    <w:rsid w:val="00BE1CC0"/>
    <w:rsid w:val="00BF406E"/>
    <w:rsid w:val="00BF52BD"/>
    <w:rsid w:val="00C05990"/>
    <w:rsid w:val="00C12144"/>
    <w:rsid w:val="00C146B2"/>
    <w:rsid w:val="00C34E50"/>
    <w:rsid w:val="00C52197"/>
    <w:rsid w:val="00C53366"/>
    <w:rsid w:val="00C57DFA"/>
    <w:rsid w:val="00C6521E"/>
    <w:rsid w:val="00C67AB1"/>
    <w:rsid w:val="00C94548"/>
    <w:rsid w:val="00C96FAC"/>
    <w:rsid w:val="00C97031"/>
    <w:rsid w:val="00CA28F9"/>
    <w:rsid w:val="00CB1BF3"/>
    <w:rsid w:val="00CC125E"/>
    <w:rsid w:val="00CC48C6"/>
    <w:rsid w:val="00CE616D"/>
    <w:rsid w:val="00D0054E"/>
    <w:rsid w:val="00D062D3"/>
    <w:rsid w:val="00D115B4"/>
    <w:rsid w:val="00D14418"/>
    <w:rsid w:val="00D17F43"/>
    <w:rsid w:val="00D217A3"/>
    <w:rsid w:val="00D323EA"/>
    <w:rsid w:val="00D50CDA"/>
    <w:rsid w:val="00D77E1B"/>
    <w:rsid w:val="00D848F9"/>
    <w:rsid w:val="00D8661A"/>
    <w:rsid w:val="00DB5852"/>
    <w:rsid w:val="00DC6DBA"/>
    <w:rsid w:val="00DD0C2C"/>
    <w:rsid w:val="00DE1CD6"/>
    <w:rsid w:val="00DF3261"/>
    <w:rsid w:val="00E03438"/>
    <w:rsid w:val="00E042B4"/>
    <w:rsid w:val="00E562D4"/>
    <w:rsid w:val="00E644E3"/>
    <w:rsid w:val="00E95163"/>
    <w:rsid w:val="00ED047D"/>
    <w:rsid w:val="00EE3B25"/>
    <w:rsid w:val="00EF2BCA"/>
    <w:rsid w:val="00EF4F75"/>
    <w:rsid w:val="00F14636"/>
    <w:rsid w:val="00F14AAD"/>
    <w:rsid w:val="00F366C4"/>
    <w:rsid w:val="00F403D0"/>
    <w:rsid w:val="00F54D8F"/>
    <w:rsid w:val="00F6176C"/>
    <w:rsid w:val="00F849A9"/>
    <w:rsid w:val="00F91B96"/>
    <w:rsid w:val="00FB104A"/>
    <w:rsid w:val="00FC11CC"/>
    <w:rsid w:val="00FC5089"/>
    <w:rsid w:val="00FD5485"/>
    <w:rsid w:val="00FE0603"/>
    <w:rsid w:val="00FE34B4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8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4E50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2E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435F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435F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C121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8A2121"/>
    <w:pPr>
      <w:ind w:left="720"/>
      <w:contextualSpacing/>
    </w:pPr>
  </w:style>
  <w:style w:type="table" w:styleId="Cuadrculamedia1-nfasis3">
    <w:name w:val="Medium Grid 1 Accent 3"/>
    <w:basedOn w:val="Tablanormal"/>
    <w:uiPriority w:val="67"/>
    <w:rsid w:val="00FD5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8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4E50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2E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435F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rsid w:val="00435F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C121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8A2121"/>
    <w:pPr>
      <w:ind w:left="720"/>
      <w:contextualSpacing/>
    </w:pPr>
  </w:style>
  <w:style w:type="table" w:styleId="Cuadrculamedia1-nfasis3">
    <w:name w:val="Medium Grid 1 Accent 3"/>
    <w:basedOn w:val="Tablanormal"/>
    <w:uiPriority w:val="67"/>
    <w:rsid w:val="00FD54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55" Type="http://schemas.openxmlformats.org/officeDocument/2006/relationships/chart" Target="charts/chart49.xml"/><Relationship Id="rId63" Type="http://schemas.openxmlformats.org/officeDocument/2006/relationships/chart" Target="charts/chart57.xml"/><Relationship Id="rId68" Type="http://schemas.openxmlformats.org/officeDocument/2006/relationships/chart" Target="charts/chart62.xml"/><Relationship Id="rId7" Type="http://schemas.openxmlformats.org/officeDocument/2006/relationships/chart" Target="charts/chart1.xml"/><Relationship Id="rId71" Type="http://schemas.openxmlformats.org/officeDocument/2006/relationships/chart" Target="charts/chart65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3" Type="http://schemas.openxmlformats.org/officeDocument/2006/relationships/chart" Target="charts/chart47.xml"/><Relationship Id="rId58" Type="http://schemas.openxmlformats.org/officeDocument/2006/relationships/chart" Target="charts/chart52.xml"/><Relationship Id="rId66" Type="http://schemas.openxmlformats.org/officeDocument/2006/relationships/chart" Target="charts/chart60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57" Type="http://schemas.openxmlformats.org/officeDocument/2006/relationships/chart" Target="charts/chart51.xml"/><Relationship Id="rId61" Type="http://schemas.openxmlformats.org/officeDocument/2006/relationships/chart" Target="charts/chart55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chart" Target="charts/chart46.xml"/><Relationship Id="rId60" Type="http://schemas.openxmlformats.org/officeDocument/2006/relationships/chart" Target="charts/chart54.xml"/><Relationship Id="rId65" Type="http://schemas.openxmlformats.org/officeDocument/2006/relationships/chart" Target="charts/chart59.xm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56" Type="http://schemas.openxmlformats.org/officeDocument/2006/relationships/chart" Target="charts/chart50.xml"/><Relationship Id="rId64" Type="http://schemas.openxmlformats.org/officeDocument/2006/relationships/chart" Target="charts/chart58.xml"/><Relationship Id="rId69" Type="http://schemas.openxmlformats.org/officeDocument/2006/relationships/chart" Target="charts/chart63.xml"/><Relationship Id="rId8" Type="http://schemas.openxmlformats.org/officeDocument/2006/relationships/chart" Target="charts/chart2.xml"/><Relationship Id="rId51" Type="http://schemas.openxmlformats.org/officeDocument/2006/relationships/chart" Target="charts/chart45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59" Type="http://schemas.openxmlformats.org/officeDocument/2006/relationships/chart" Target="charts/chart53.xml"/><Relationship Id="rId67" Type="http://schemas.openxmlformats.org/officeDocument/2006/relationships/chart" Target="charts/chart61.xml"/><Relationship Id="rId20" Type="http://schemas.openxmlformats.org/officeDocument/2006/relationships/chart" Target="charts/chart14.xml"/><Relationship Id="rId41" Type="http://schemas.openxmlformats.org/officeDocument/2006/relationships/chart" Target="charts/chart35.xml"/><Relationship Id="rId54" Type="http://schemas.openxmlformats.org/officeDocument/2006/relationships/chart" Target="charts/chart48.xml"/><Relationship Id="rId62" Type="http://schemas.openxmlformats.org/officeDocument/2006/relationships/chart" Target="charts/chart56.xml"/><Relationship Id="rId70" Type="http://schemas.openxmlformats.org/officeDocument/2006/relationships/chart" Target="charts/chart6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uis.sanchez\Desktop\RANKING%20SECCIONALES\Contribucion%20por%20seccionales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Libro1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Libro1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Libro1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2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5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Libro1" TargetMode="Externa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2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5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6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7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3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8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9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0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1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2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5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6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7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4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8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9.xml"/><Relationship Id="rId1" Type="http://schemas.openxmlformats.org/officeDocument/2006/relationships/oleObject" Target="file:///C:\Users\luis.sanchez\AppData\Roaming\Microsoft\Excel\Consolidado%20Laboratorios%20(version%201).xlsb" TargetMode="External"/></Relationships>
</file>

<file path=word/charts/_rels/chart5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0.xml"/><Relationship Id="rId1" Type="http://schemas.openxmlformats.org/officeDocument/2006/relationships/oleObject" Target="file:///C:\Users\luis.sanchez\AppData\Roaming\Microsoft\Excel\Consolidado%20Laboratorios%20(version%201).xlsb" TargetMode="External"/></Relationships>
</file>

<file path=word/charts/_rels/chart5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1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2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5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6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7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5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8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Libro1" TargetMode="External"/></Relationships>
</file>

<file path=word/charts/_rels/chart6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9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6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0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6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1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6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2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6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3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6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4.xml"/><Relationship Id="rId1" Type="http://schemas.openxmlformats.org/officeDocument/2006/relationships/oleObject" Target="file:///C:\Users\luis.sanchez\Desktop\RANKING%20SECCIONALES\Consolidado%20Laboratorios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Libro1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Libro1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>
                <a:solidFill>
                  <a:schemeClr val="tx1"/>
                </a:solidFill>
                <a:latin typeface="Trebuchet MS" panose="020B0603020202020204" pitchFamily="34" charset="0"/>
              </a:rPr>
              <a:t>Resultado Plan Accion ICA I Semestre</a:t>
            </a:r>
          </a:p>
        </c:rich>
      </c:tx>
      <c:layout>
        <c:manualLayout>
          <c:xMode val="edge"/>
          <c:yMode val="edge"/>
          <c:x val="0.14596278913411684"/>
          <c:y val="3.81948009923417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Hoja1!$P$39</c:f>
              <c:strCache>
                <c:ptCount val="1"/>
                <c:pt idx="0">
                  <c:v>RESULTADO</c:v>
                </c:pt>
              </c:strCache>
            </c:strRef>
          </c:tx>
          <c:dLbls>
            <c:dLbl>
              <c:idx val="0"/>
              <c:layout>
                <c:manualLayout>
                  <c:x val="-0.12261342165701272"/>
                  <c:y val="0.12524407890252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3112383108361919"/>
                  <c:y val="-0.171734974142694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191805367292443"/>
                  <c:y val="-0.1249360411890428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2576040521332069"/>
                  <c:y val="0.1272489125923573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Hoja1!$M$40:$M$43</c:f>
              <c:strCache>
                <c:ptCount val="4"/>
                <c:pt idx="0">
                  <c:v>SUBGERENCIA ANIMAL</c:v>
                </c:pt>
                <c:pt idx="1">
                  <c:v>SUBGERENCIA VEGETAL</c:v>
                </c:pt>
                <c:pt idx="2">
                  <c:v>SUBGERENCIA FRONTERIZA</c:v>
                </c:pt>
                <c:pt idx="3">
                  <c:v>SUBGERENCIA DIAGNOSTICO</c:v>
                </c:pt>
              </c:strCache>
            </c:strRef>
          </c:cat>
          <c:val>
            <c:numRef>
              <c:f>Hoja1!$P$40:$P$43</c:f>
              <c:numCache>
                <c:formatCode>0</c:formatCode>
                <c:ptCount val="4"/>
                <c:pt idx="0">
                  <c:v>48</c:v>
                </c:pt>
                <c:pt idx="1">
                  <c:v>43</c:v>
                </c:pt>
                <c:pt idx="2">
                  <c:v>42</c:v>
                </c:pt>
                <c:pt idx="3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b="0">
                <a:solidFill>
                  <a:schemeClr val="tx1"/>
                </a:solidFill>
              </a:defRPr>
            </a:pPr>
            <a:endParaRPr lang="es-CO"/>
          </a:p>
        </c:txPr>
      </c:legendEntry>
      <c:legendEntry>
        <c:idx val="1"/>
        <c:txPr>
          <a:bodyPr/>
          <a:lstStyle/>
          <a:p>
            <a:pPr>
              <a:defRPr b="0">
                <a:solidFill>
                  <a:schemeClr val="tx1"/>
                </a:solidFill>
              </a:defRPr>
            </a:pPr>
            <a:endParaRPr lang="es-CO"/>
          </a:p>
        </c:txPr>
      </c:legendEntry>
      <c:legendEntry>
        <c:idx val="2"/>
        <c:txPr>
          <a:bodyPr/>
          <a:lstStyle/>
          <a:p>
            <a:pPr>
              <a:defRPr b="0">
                <a:solidFill>
                  <a:schemeClr val="tx1"/>
                </a:solidFill>
              </a:defRPr>
            </a:pPr>
            <a:endParaRPr lang="es-CO"/>
          </a:p>
        </c:txPr>
      </c:legendEntry>
      <c:legendEntry>
        <c:idx val="3"/>
        <c:txPr>
          <a:bodyPr/>
          <a:lstStyle/>
          <a:p>
            <a:pPr>
              <a:defRPr b="0">
                <a:solidFill>
                  <a:schemeClr val="tx1"/>
                </a:solidFill>
              </a:defRPr>
            </a:pPr>
            <a:endParaRPr lang="es-CO"/>
          </a:p>
        </c:txPr>
      </c:legendEntry>
      <c:layout>
        <c:manualLayout>
          <c:xMode val="edge"/>
          <c:yMode val="edge"/>
          <c:x val="0.66256043003496357"/>
          <c:y val="0.30947090855594162"/>
          <c:w val="0.31281184612908419"/>
          <c:h val="0.58354783734225002"/>
        </c:manualLayout>
      </c:layout>
      <c:overlay val="0"/>
      <c:txPr>
        <a:bodyPr/>
        <a:lstStyle/>
        <a:p>
          <a:pPr>
            <a:defRPr b="1">
              <a:solidFill>
                <a:schemeClr val="tx1"/>
              </a:solidFill>
            </a:defRPr>
          </a:pPr>
          <a:endParaRPr lang="es-CO"/>
        </a:p>
      </c:txPr>
    </c:legend>
    <c:plotVisOnly val="1"/>
    <c:dispBlanksAs val="gap"/>
    <c:showDLblsOverMax val="0"/>
  </c:chart>
  <c:spPr>
    <a:gradFill rotWithShape="1">
      <a:gsLst>
        <a:gs pos="0">
          <a:schemeClr val="accent3">
            <a:shade val="51000"/>
            <a:satMod val="130000"/>
          </a:schemeClr>
        </a:gs>
        <a:gs pos="80000">
          <a:schemeClr val="accent3">
            <a:shade val="93000"/>
            <a:satMod val="130000"/>
          </a:schemeClr>
        </a:gs>
        <a:gs pos="100000">
          <a:schemeClr val="accent3">
            <a:shade val="94000"/>
            <a:satMod val="135000"/>
          </a:schemeClr>
        </a:gs>
      </a:gsLst>
      <a:lin ang="16200000" scaled="0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3000" dir="5400000" rotWithShape="0">
        <a:srgbClr val="000000">
          <a:alpha val="35000"/>
        </a:srgbClr>
      </a:outerShdw>
    </a:effectLst>
  </c:spPr>
  <c:txPr>
    <a:bodyPr/>
    <a:lstStyle/>
    <a:p>
      <a:pPr algn="just"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s-CO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  <a:ln w="25400">
          <a:noFill/>
        </a:ln>
      </c:spPr>
    </c:sideWall>
    <c:backWall>
      <c:thickness val="0"/>
      <c:spPr>
        <a:solidFill>
          <a:schemeClr val="tx2">
            <a:lumMod val="40000"/>
            <a:lumOff val="60000"/>
          </a:schemeClr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0143354321796358E-2"/>
          <c:y val="0.22275384975785129"/>
          <c:w val="0.90495568359557776"/>
          <c:h val="0.6251413928450200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Hoja1!$C$107</c:f>
              <c:strCache>
                <c:ptCount val="1"/>
                <c:pt idx="0">
                  <c:v>Porcentaje Cumplimiento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0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83630245077108E-2"/>
                  <c:y val="-6.5459935942040635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50,3%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Hoja1!$B$108:$B$110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</c:strCache>
            </c:strRef>
          </c:cat>
          <c:val>
            <c:numRef>
              <c:f>Hoja1!$C$108:$C$110</c:f>
              <c:numCache>
                <c:formatCode>General</c:formatCode>
                <c:ptCount val="3"/>
                <c:pt idx="0">
                  <c:v>62</c:v>
                </c:pt>
                <c:pt idx="1">
                  <c:v>49</c:v>
                </c:pt>
                <c:pt idx="2">
                  <c:v>50.3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554304"/>
        <c:axId val="127555840"/>
        <c:axId val="0"/>
      </c:bar3DChart>
      <c:catAx>
        <c:axId val="1275543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555840"/>
        <c:crosses val="autoZero"/>
        <c:auto val="1"/>
        <c:lblAlgn val="ctr"/>
        <c:lblOffset val="100"/>
        <c:noMultiLvlLbl val="0"/>
      </c:catAx>
      <c:valAx>
        <c:axId val="1275558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755430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1881252534434892E-2"/>
          <c:y val="0.18599023592857195"/>
          <c:w val="0.90532991094339998"/>
          <c:h val="0.5838183161758946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 prst="relaxedInset"/>
              <a:bevelB w="139700" h="139700" prst="divo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 prstMaterial="dkEdge">
                <a:bevelT prst="relaxedInset"/>
                <a:bevelB w="139700" h="139700" prst="divot"/>
              </a:sp3d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 prstMaterial="dkEdge">
                <a:bevelT prst="relaxedInset"/>
                <a:bevelB w="139700" h="139700" prst="divot"/>
              </a:sp3d>
            </c:spPr>
          </c:dPt>
          <c:dLbls>
            <c:dLbl>
              <c:idx val="0"/>
              <c:layout>
                <c:manualLayout>
                  <c:x val="1.809883495875478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53,8%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37351443123939E-2"/>
                  <c:y val="-6.1785603954278654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Hoja1!$G$107:$H$107</c:f>
              <c:strCache>
                <c:ptCount val="2"/>
                <c:pt idx="0">
                  <c:v>Ejecucion Metas I Semestre</c:v>
                </c:pt>
                <c:pt idx="1">
                  <c:v>Presupuesto Comprometido I Semestre</c:v>
                </c:pt>
              </c:strCache>
            </c:strRef>
          </c:cat>
          <c:val>
            <c:numRef>
              <c:f>Hoja1!$G$108:$H$108</c:f>
              <c:numCache>
                <c:formatCode>General</c:formatCode>
                <c:ptCount val="2"/>
                <c:pt idx="0">
                  <c:v>53.8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577472"/>
        <c:axId val="127591552"/>
        <c:axId val="0"/>
      </c:bar3DChart>
      <c:catAx>
        <c:axId val="1275774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591552"/>
        <c:crosses val="autoZero"/>
        <c:auto val="1"/>
        <c:lblAlgn val="ctr"/>
        <c:lblOffset val="100"/>
        <c:noMultiLvlLbl val="0"/>
      </c:catAx>
      <c:valAx>
        <c:axId val="127591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757747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0474141700848215E-2"/>
          <c:y val="0.21871659198551452"/>
          <c:w val="0.91385754508766914"/>
          <c:h val="0.5731984632672150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Hoja1!$C$3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99026629976183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99026629976183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37,7%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9902662997619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Hoja1!$B$4:$B$6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66</c:v>
                </c:pt>
                <c:pt idx="1">
                  <c:v>37.700000000000003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295296"/>
        <c:axId val="130296832"/>
        <c:axId val="0"/>
      </c:bar3DChart>
      <c:catAx>
        <c:axId val="1302952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296832"/>
        <c:crosses val="autoZero"/>
        <c:auto val="1"/>
        <c:lblAlgn val="ctr"/>
        <c:lblOffset val="100"/>
        <c:noMultiLvlLbl val="0"/>
      </c:catAx>
      <c:valAx>
        <c:axId val="130296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29529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2144060221806835"/>
          <c:y val="0.20468290978190834"/>
          <c:w val="0.83495334334860061"/>
          <c:h val="0.54865006040203379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828763610534107E-2"/>
                  <c:y val="-5.5459120732759088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47,4%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153350218742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Hoja1!$I$3:$I$4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Hoja1!$J$3:$J$4</c:f>
              <c:numCache>
                <c:formatCode>General</c:formatCode>
                <c:ptCount val="2"/>
                <c:pt idx="0">
                  <c:v>47.4</c:v>
                </c:pt>
                <c:pt idx="1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326528"/>
        <c:axId val="130328064"/>
        <c:axId val="0"/>
      </c:bar3DChart>
      <c:catAx>
        <c:axId val="130326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328064"/>
        <c:crosses val="autoZero"/>
        <c:auto val="1"/>
        <c:lblAlgn val="ctr"/>
        <c:lblOffset val="100"/>
        <c:noMultiLvlLbl val="0"/>
      </c:catAx>
      <c:valAx>
        <c:axId val="130328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32652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30783944979545E-2"/>
          <c:y val="0.18134870641169853"/>
          <c:w val="0.91648331798673266"/>
          <c:h val="0.701004874390701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Hoja1!$C$45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0.221623733438281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0.1368467664151515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0494174793773925E-3"/>
                  <c:y val="0.2175399401203045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50,6%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Hoja1!$B$46:$B$48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Hoja1!$C$46:$C$48</c:f>
              <c:numCache>
                <c:formatCode>General</c:formatCode>
                <c:ptCount val="3"/>
                <c:pt idx="0">
                  <c:v>54</c:v>
                </c:pt>
                <c:pt idx="1">
                  <c:v>24</c:v>
                </c:pt>
                <c:pt idx="2">
                  <c:v>50.6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344832"/>
        <c:axId val="130346368"/>
        <c:axId val="0"/>
      </c:bar3DChart>
      <c:catAx>
        <c:axId val="1303448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346368"/>
        <c:crosses val="autoZero"/>
        <c:auto val="1"/>
        <c:lblAlgn val="ctr"/>
        <c:lblOffset val="100"/>
        <c:noMultiLvlLbl val="0"/>
      </c:catAx>
      <c:valAx>
        <c:axId val="130346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34483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9316082422212567E-2"/>
          <c:y val="0.21499382044798476"/>
          <c:w val="0.89569994599059322"/>
          <c:h val="0.59863596823722165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176070666272852E-2"/>
                  <c:y val="-5.5459096514548622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45,9%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2052999704639E-2"/>
                  <c:y val="-1.6637728954364588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76%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Hoja1!$I$109:$I$110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Hoja1!$J$109:$J$110</c:f>
              <c:numCache>
                <c:formatCode>General</c:formatCode>
                <c:ptCount val="2"/>
                <c:pt idx="0">
                  <c:v>45.9</c:v>
                </c:pt>
                <c:pt idx="1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672512"/>
        <c:axId val="128674048"/>
        <c:axId val="0"/>
      </c:bar3DChart>
      <c:catAx>
        <c:axId val="1286725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8674048"/>
        <c:crosses val="autoZero"/>
        <c:auto val="1"/>
        <c:lblAlgn val="ctr"/>
        <c:lblOffset val="100"/>
        <c:noMultiLvlLbl val="0"/>
      </c:catAx>
      <c:valAx>
        <c:axId val="128674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67251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0893138314823889E-2"/>
          <c:y val="0.22434536076333877"/>
          <c:w val="0.91648331798673266"/>
          <c:h val="0.6120129862396356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Hoja1!$C$67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361189328599136E-2"/>
                  <c:y val="-6.050082295410750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46,3%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5741262190661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Hoja1!$B$68:$B$70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</c:strCache>
            </c:strRef>
          </c:cat>
          <c:val>
            <c:numRef>
              <c:f>Hoja1!$C$68:$C$70</c:f>
              <c:numCache>
                <c:formatCode>General</c:formatCode>
                <c:ptCount val="3"/>
                <c:pt idx="0">
                  <c:v>67</c:v>
                </c:pt>
                <c:pt idx="1">
                  <c:v>46.3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707200"/>
        <c:axId val="128708992"/>
        <c:axId val="0"/>
      </c:bar3DChart>
      <c:catAx>
        <c:axId val="128707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8708992"/>
        <c:crosses val="autoZero"/>
        <c:auto val="1"/>
        <c:lblAlgn val="ctr"/>
        <c:lblOffset val="100"/>
        <c:noMultiLvlLbl val="0"/>
      </c:catAx>
      <c:valAx>
        <c:axId val="128708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70720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0103680478854166E-2"/>
          <c:y val="0.20022343502385376"/>
          <c:w val="0.9050094416930915"/>
          <c:h val="0.60400372828528248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-1.576205828486465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55,1%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81%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Hoja1!$I$67:$I$68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Hoja1!$J$67:$J$68</c:f>
              <c:numCache>
                <c:formatCode>General</c:formatCode>
                <c:ptCount val="2"/>
                <c:pt idx="0">
                  <c:v>55.1</c:v>
                </c:pt>
                <c:pt idx="1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734336"/>
        <c:axId val="128735872"/>
        <c:axId val="0"/>
      </c:bar3DChart>
      <c:catAx>
        <c:axId val="1287343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8735872"/>
        <c:crosses val="autoZero"/>
        <c:auto val="1"/>
        <c:lblAlgn val="ctr"/>
        <c:lblOffset val="100"/>
        <c:noMultiLvlLbl val="0"/>
      </c:catAx>
      <c:valAx>
        <c:axId val="128735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73433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  <a:ln w="25400">
          <a:noFill/>
        </a:ln>
      </c:spPr>
    </c:sideWall>
    <c:backWall>
      <c:thickness val="0"/>
      <c:spPr>
        <a:solidFill>
          <a:schemeClr val="tx2">
            <a:lumMod val="40000"/>
            <a:lumOff val="60000"/>
          </a:schemeClr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8630783944979545E-2"/>
          <c:y val="0.22653999933176669"/>
          <c:w val="0.93005744420579872"/>
          <c:h val="0.6558899197006314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Hoja1!$C$88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09883495875478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6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Hoja1!$B$89:$B$91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Hoja1!$C$89:$C$91</c:f>
              <c:numCache>
                <c:formatCode>General</c:formatCode>
                <c:ptCount val="3"/>
                <c:pt idx="0">
                  <c:v>55</c:v>
                </c:pt>
                <c:pt idx="1">
                  <c:v>45.1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764544"/>
        <c:axId val="128770432"/>
        <c:axId val="0"/>
      </c:bar3DChart>
      <c:catAx>
        <c:axId val="1287645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8770432"/>
        <c:crosses val="autoZero"/>
        <c:auto val="1"/>
        <c:lblAlgn val="ctr"/>
        <c:lblOffset val="100"/>
        <c:noMultiLvlLbl val="0"/>
      </c:catAx>
      <c:valAx>
        <c:axId val="128770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76454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244304747039003"/>
          <c:y val="0.19443008365676145"/>
          <c:w val="0.81396838154909279"/>
          <c:h val="0.6293320123064086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13E-2"/>
                  <c:y val="-5.3240747533632848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43,6%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09883495875478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Hoja1!$I$88:$I$89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Hoja1!$J$88:$J$89</c:f>
              <c:numCache>
                <c:formatCode>General</c:formatCode>
                <c:ptCount val="2"/>
                <c:pt idx="0">
                  <c:v>43.6</c:v>
                </c:pt>
                <c:pt idx="1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799872"/>
        <c:axId val="128801408"/>
        <c:axId val="0"/>
      </c:bar3DChart>
      <c:catAx>
        <c:axId val="128799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8801408"/>
        <c:crosses val="autoZero"/>
        <c:auto val="1"/>
        <c:lblAlgn val="ctr"/>
        <c:lblOffset val="100"/>
        <c:noMultiLvlLbl val="0"/>
      </c:catAx>
      <c:valAx>
        <c:axId val="128801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79987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586700060254418E-2"/>
          <c:y val="0.16413019874047921"/>
          <c:w val="0.91654611332281333"/>
          <c:h val="0.6651476267128165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Hoja1!$C$22</c:f>
              <c:strCache>
                <c:ptCount val="1"/>
                <c:pt idx="0">
                  <c:v>%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6.78706310953304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-6.2568531110544595E-1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7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42,3%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49417479377392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Hoja1!$B$23:$B$26</c:f>
              <c:strCache>
                <c:ptCount val="4"/>
                <c:pt idx="0">
                  <c:v>Animal</c:v>
                </c:pt>
                <c:pt idx="1">
                  <c:v>Vegetal</c:v>
                </c:pt>
                <c:pt idx="2">
                  <c:v>Fronteras</c:v>
                </c:pt>
                <c:pt idx="3">
                  <c:v>Laboratorios</c:v>
                </c:pt>
              </c:strCache>
            </c:strRef>
          </c:cat>
          <c:val>
            <c:numRef>
              <c:f>Hoja1!$C$23:$C$26</c:f>
              <c:numCache>
                <c:formatCode>General</c:formatCode>
                <c:ptCount val="4"/>
                <c:pt idx="0">
                  <c:v>54</c:v>
                </c:pt>
                <c:pt idx="1">
                  <c:v>55</c:v>
                </c:pt>
                <c:pt idx="2">
                  <c:v>42.3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086144"/>
        <c:axId val="126087936"/>
        <c:axId val="0"/>
      </c:bar3DChart>
      <c:catAx>
        <c:axId val="1260861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6087936"/>
        <c:crosses val="autoZero"/>
        <c:auto val="1"/>
        <c:lblAlgn val="ctr"/>
        <c:lblOffset val="100"/>
        <c:noMultiLvlLbl val="0"/>
      </c:catAx>
      <c:valAx>
        <c:axId val="126087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608614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18845169024924516"/>
          <c:w val="0.9164611297314923"/>
          <c:h val="0.6938319025035852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Hoja1!$C$109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089E-2"/>
                  <c:y val="-5.219680744597733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361189328599216E-2"/>
                  <c:y val="-1.043936148919546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37,4%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Hoja1!$B$110:$B$111</c:f>
              <c:strCache>
                <c:ptCount val="2"/>
                <c:pt idx="0">
                  <c:v>Sub. Animal</c:v>
                </c:pt>
                <c:pt idx="1">
                  <c:v>Sub. Vegetal</c:v>
                </c:pt>
              </c:strCache>
            </c:strRef>
          </c:cat>
          <c:val>
            <c:numRef>
              <c:f>Hoja1!$C$110:$C$111</c:f>
              <c:numCache>
                <c:formatCode>General</c:formatCode>
                <c:ptCount val="2"/>
                <c:pt idx="0">
                  <c:v>49</c:v>
                </c:pt>
                <c:pt idx="1">
                  <c:v>37.4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822272"/>
        <c:axId val="128832256"/>
        <c:axId val="0"/>
      </c:bar3DChart>
      <c:catAx>
        <c:axId val="1288222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8832256"/>
        <c:crosses val="autoZero"/>
        <c:auto val="1"/>
        <c:lblAlgn val="ctr"/>
        <c:lblOffset val="100"/>
        <c:noMultiLvlLbl val="0"/>
      </c:catAx>
      <c:valAx>
        <c:axId val="128832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82227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0202965526112269"/>
          <c:y val="0.20417833187518228"/>
          <c:w val="0.84056719392693502"/>
          <c:h val="0.6233369787109944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60044166420532E-2"/>
                  <c:y val="-5.169004046882459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43,2%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880353331363427E-3"/>
                  <c:y val="-1.033800809376491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Hoja1!$I$109:$I$110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Hoja1!$J$109:$J$110</c:f>
              <c:numCache>
                <c:formatCode>General</c:formatCode>
                <c:ptCount val="2"/>
                <c:pt idx="0">
                  <c:v>43.2</c:v>
                </c:pt>
                <c:pt idx="1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107072"/>
        <c:axId val="129108608"/>
        <c:axId val="0"/>
      </c:bar3DChart>
      <c:catAx>
        <c:axId val="129107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9108608"/>
        <c:crosses val="autoZero"/>
        <c:auto val="1"/>
        <c:lblAlgn val="ctr"/>
        <c:lblOffset val="100"/>
        <c:noMultiLvlLbl val="0"/>
      </c:catAx>
      <c:valAx>
        <c:axId val="129108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10707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20321791459235913"/>
          <c:w val="0.9164611297314923"/>
          <c:h val="0.6786696217428267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Hoja1!$C$150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-5.4699388099049822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5.4699388099049822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54,8%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742E-2"/>
                  <c:y val="-1.093987761980996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11771849221742E-2"/>
                  <c:y val="-1.640981642971494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Hoja1!$B$151:$B$154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  <c:pt idx="3">
                  <c:v>Sub. Fronteriza</c:v>
                </c:pt>
              </c:strCache>
            </c:strRef>
          </c:cat>
          <c:val>
            <c:numRef>
              <c:f>Hoja1!$C$151:$C$154</c:f>
              <c:numCache>
                <c:formatCode>General</c:formatCode>
                <c:ptCount val="4"/>
                <c:pt idx="0">
                  <c:v>52</c:v>
                </c:pt>
                <c:pt idx="1">
                  <c:v>54.8</c:v>
                </c:pt>
                <c:pt idx="2">
                  <c:v>40</c:v>
                </c:pt>
                <c:pt idx="3">
                  <c:v>45.3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125376"/>
        <c:axId val="129164032"/>
        <c:axId val="0"/>
      </c:bar3DChart>
      <c:catAx>
        <c:axId val="129125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9164032"/>
        <c:crosses val="autoZero"/>
        <c:auto val="1"/>
        <c:lblAlgn val="ctr"/>
        <c:lblOffset val="100"/>
        <c:noMultiLvlLbl val="0"/>
      </c:catAx>
      <c:valAx>
        <c:axId val="129164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12537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3758216547616148E-2"/>
          <c:y val="0.20022946403151307"/>
          <c:w val="0.90957907906266255"/>
          <c:h val="0.598567978393910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6.9444444444444441E-3"/>
                  <c:y val="-1.082862423181782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48,1%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18518518518434E-2"/>
                  <c:y val="-2.165724846363564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Hoja1!$I$150:$I$151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Hoja1!$J$150:$J$151</c:f>
              <c:numCache>
                <c:formatCode>General</c:formatCode>
                <c:ptCount val="2"/>
                <c:pt idx="0">
                  <c:v>48.1</c:v>
                </c:pt>
                <c:pt idx="1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360448"/>
        <c:axId val="130361984"/>
        <c:axId val="0"/>
      </c:bar3DChart>
      <c:catAx>
        <c:axId val="130360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361984"/>
        <c:crosses val="autoZero"/>
        <c:auto val="1"/>
        <c:lblAlgn val="ctr"/>
        <c:lblOffset val="100"/>
        <c:noMultiLvlLbl val="0"/>
      </c:catAx>
      <c:valAx>
        <c:axId val="13036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36044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17638469068238349"/>
          <c:w val="0.92324811382884597"/>
          <c:h val="0.7045202128436108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Hoja1!$C$172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089E-2"/>
                  <c:y val="-2.0924316582163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2.092431658216391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46,3%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825E-2"/>
                  <c:y val="-1.394954438810927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Hoja1!$B$173:$B$175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Hoja1!$C$173:$C$175</c:f>
              <c:numCache>
                <c:formatCode>General</c:formatCode>
                <c:ptCount val="3"/>
                <c:pt idx="0">
                  <c:v>61</c:v>
                </c:pt>
                <c:pt idx="1">
                  <c:v>46.3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386944"/>
        <c:axId val="130388736"/>
        <c:axId val="0"/>
      </c:bar3DChart>
      <c:catAx>
        <c:axId val="1303869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388736"/>
        <c:crosses val="autoZero"/>
        <c:auto val="1"/>
        <c:lblAlgn val="ctr"/>
        <c:lblOffset val="100"/>
        <c:noMultiLvlLbl val="0"/>
      </c:catAx>
      <c:valAx>
        <c:axId val="130388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38694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4655648166855909E-2"/>
          <c:y val="0.24106796269704764"/>
          <c:w val="0.89884152084892532"/>
          <c:h val="0.54562223282038425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641560922488244E-2"/>
                  <c:y val="-1.717443182381647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132487379906301E-3"/>
                  <c:y val="-1.717443182381647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Hoja1!$I$172:$I$173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Hoja1!$J$172:$J$173</c:f>
              <c:numCache>
                <c:formatCode>General</c:formatCode>
                <c:ptCount val="2"/>
                <c:pt idx="0">
                  <c:v>54</c:v>
                </c:pt>
                <c:pt idx="1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405504"/>
        <c:axId val="130407040"/>
        <c:axId val="0"/>
      </c:bar3DChart>
      <c:catAx>
        <c:axId val="130405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407040"/>
        <c:crosses val="autoZero"/>
        <c:auto val="1"/>
        <c:lblAlgn val="ctr"/>
        <c:lblOffset val="100"/>
        <c:noMultiLvlLbl val="0"/>
      </c:catAx>
      <c:valAx>
        <c:axId val="130407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40550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0406387592589623"/>
          <c:y val="0.21553305135595779"/>
          <c:w val="0.85747844394910167"/>
          <c:h val="0.6673484187548086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Hoja1!$C$193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6.7870631095330444E-3"/>
                  <c:y val="-1.4010721695584158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45%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870631095330444E-3"/>
                  <c:y val="-2.3351202825973597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52,3%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836480588910438E-2"/>
                  <c:y val="-3.2691683956363037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91,3%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Hoja1!$B$194:$B$196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Hoja1!$C$194:$C$196</c:f>
              <c:numCache>
                <c:formatCode>General</c:formatCode>
                <c:ptCount val="3"/>
                <c:pt idx="0">
                  <c:v>45</c:v>
                </c:pt>
                <c:pt idx="1">
                  <c:v>52.3</c:v>
                </c:pt>
                <c:pt idx="2">
                  <c:v>91.3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27616"/>
        <c:axId val="130529152"/>
        <c:axId val="0"/>
      </c:bar3DChart>
      <c:catAx>
        <c:axId val="1305276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529152"/>
        <c:crosses val="autoZero"/>
        <c:auto val="1"/>
        <c:lblAlgn val="ctr"/>
        <c:lblOffset val="100"/>
        <c:noMultiLvlLbl val="0"/>
      </c:catAx>
      <c:valAx>
        <c:axId val="130529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52761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3678341112338336E-2"/>
          <c:y val="0.20024255382224398"/>
          <c:w val="0.89143531421162914"/>
          <c:h val="0.58722716176368206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62,9%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86%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Hoja1!$I$193:$I$194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Hoja1!$J$193:$J$194</c:f>
              <c:numCache>
                <c:formatCode>General</c:formatCode>
                <c:ptCount val="2"/>
                <c:pt idx="0">
                  <c:v>62.9</c:v>
                </c:pt>
                <c:pt idx="1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58976"/>
        <c:axId val="130564864"/>
        <c:axId val="0"/>
      </c:bar3DChart>
      <c:catAx>
        <c:axId val="130558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564864"/>
        <c:crosses val="autoZero"/>
        <c:auto val="1"/>
        <c:lblAlgn val="ctr"/>
        <c:lblOffset val="100"/>
        <c:noMultiLvlLbl val="0"/>
      </c:catAx>
      <c:valAx>
        <c:axId val="130564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55897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22095624100186614"/>
          <c:w val="0.9164611297314923"/>
          <c:h val="0.6589783214553249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Hoja1!$C$214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-1.9090309187850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1.9090309187850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742E-2"/>
                  <c:y val="-1.27268727919000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Hoja1!$B$215:$B$217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Hoja1!$C$215:$C$217</c:f>
              <c:numCache>
                <c:formatCode>General</c:formatCode>
                <c:ptCount val="3"/>
                <c:pt idx="0">
                  <c:v>58</c:v>
                </c:pt>
                <c:pt idx="1">
                  <c:v>43.6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85728"/>
        <c:axId val="130587264"/>
        <c:axId val="0"/>
      </c:bar3DChart>
      <c:catAx>
        <c:axId val="130585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587264"/>
        <c:crosses val="autoZero"/>
        <c:auto val="1"/>
        <c:lblAlgn val="ctr"/>
        <c:lblOffset val="100"/>
        <c:noMultiLvlLbl val="0"/>
      </c:catAx>
      <c:valAx>
        <c:axId val="130587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58572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9153936470385674E-2"/>
          <c:y val="0.18624630871155068"/>
          <c:w val="0.9171937852428641"/>
          <c:h val="0.6335990254778610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86878996263617E-2"/>
                  <c:y val="-6.07308842368925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68789962636255E-2"/>
                  <c:y val="-6.07308842368925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Hoja1!$I$214:$I$215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Hoja1!$J$214:$J$215</c:f>
              <c:numCache>
                <c:formatCode>General</c:formatCode>
                <c:ptCount val="2"/>
                <c:pt idx="0">
                  <c:v>48.4</c:v>
                </c:pt>
                <c:pt idx="1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620416"/>
        <c:axId val="130630400"/>
        <c:axId val="0"/>
      </c:bar3DChart>
      <c:catAx>
        <c:axId val="130620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630400"/>
        <c:crosses val="autoZero"/>
        <c:auto val="1"/>
        <c:lblAlgn val="ctr"/>
        <c:lblOffset val="100"/>
        <c:noMultiLvlLbl val="0"/>
      </c:catAx>
      <c:valAx>
        <c:axId val="130630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62041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0181904345290171"/>
          <c:y val="0.2075435136504252"/>
          <c:w val="0.86741779673374164"/>
          <c:h val="0.48506533898825993"/>
        </c:manualLayout>
      </c:layout>
      <c:bar3DChart>
        <c:barDir val="col"/>
        <c:grouping val="stack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  <a:contourClr>
                <a:srgbClr val="000000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49%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05E-2"/>
                  <c:y val="5.3047226700083302E-1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Hoja1!$B$48:$C$48</c:f>
              <c:strCache>
                <c:ptCount val="2"/>
                <c:pt idx="0">
                  <c:v>Ejecucion Metas I Semestre</c:v>
                </c:pt>
                <c:pt idx="1">
                  <c:v>Presupuesto Comprometido I Semestre</c:v>
                </c:pt>
              </c:strCache>
            </c:strRef>
          </c:cat>
          <c:val>
            <c:numRef>
              <c:f>Hoja1!$B$49:$C$49</c:f>
              <c:numCache>
                <c:formatCode>General</c:formatCode>
                <c:ptCount val="2"/>
                <c:pt idx="0">
                  <c:v>49</c:v>
                </c:pt>
                <c:pt idx="1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960768"/>
        <c:axId val="126962304"/>
        <c:axId val="0"/>
      </c:bar3DChart>
      <c:catAx>
        <c:axId val="126960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6962304"/>
        <c:crosses val="autoZero"/>
        <c:auto val="1"/>
        <c:lblAlgn val="ctr"/>
        <c:lblOffset val="100"/>
        <c:noMultiLvlLbl val="0"/>
      </c:catAx>
      <c:valAx>
        <c:axId val="126962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696076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20254943461014741"/>
          <c:w val="0.9164611297314923"/>
          <c:h val="0.6797266295660410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Hoja1!$C$235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089E-2"/>
                  <c:y val="-3.50487646986003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098834958754785E-2"/>
                  <c:y val="-5.00696638551433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742E-2"/>
                  <c:y val="-2.50348319275716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Hoja1!$B$236:$B$238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</c:strCache>
            </c:strRef>
          </c:cat>
          <c:val>
            <c:numRef>
              <c:f>Hoja1!$C$236:$C$238</c:f>
              <c:numCache>
                <c:formatCode>General</c:formatCode>
                <c:ptCount val="3"/>
                <c:pt idx="0">
                  <c:v>30</c:v>
                </c:pt>
                <c:pt idx="1">
                  <c:v>35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667648"/>
        <c:axId val="130669184"/>
        <c:axId val="0"/>
      </c:bar3DChart>
      <c:catAx>
        <c:axId val="130667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669184"/>
        <c:crosses val="autoZero"/>
        <c:auto val="1"/>
        <c:lblAlgn val="ctr"/>
        <c:lblOffset val="100"/>
        <c:noMultiLvlLbl val="0"/>
      </c:catAx>
      <c:valAx>
        <c:axId val="130669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66764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0107209843878837"/>
          <c:y val="0.21242890730843014"/>
          <c:w val="0.87377380869322541"/>
          <c:h val="0.57440721163858499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6110311233453634E-2"/>
                  <c:y val="-5.724810607938824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29,7%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411784266804065E-2"/>
                  <c:y val="-3.434886364763294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Hoja1!$I$235:$I$236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Hoja1!$J$235:$J$236</c:f>
              <c:numCache>
                <c:formatCode>General</c:formatCode>
                <c:ptCount val="2"/>
                <c:pt idx="0">
                  <c:v>29.7</c:v>
                </c:pt>
                <c:pt idx="1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698240"/>
        <c:axId val="130708224"/>
        <c:axId val="0"/>
      </c:bar3DChart>
      <c:catAx>
        <c:axId val="1306982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708224"/>
        <c:crosses val="autoZero"/>
        <c:auto val="1"/>
        <c:lblAlgn val="ctr"/>
        <c:lblOffset val="100"/>
        <c:noMultiLvlLbl val="0"/>
      </c:catAx>
      <c:valAx>
        <c:axId val="130708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69824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5765707494302517E-2"/>
          <c:y val="0.22318180376706642"/>
          <c:w val="0.89934178288813693"/>
          <c:h val="0.6581181083707818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Hoja1!$C$256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9.0494174793773925E-3"/>
                  <c:y val="-9.4790620953205534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4.7395310476602767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57,8%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574126219066007E-2"/>
                  <c:y val="-2.369765523830138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Hoja1!$B$257:$B$259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Hoja1!$C$257:$C$259</c:f>
              <c:numCache>
                <c:formatCode>General</c:formatCode>
                <c:ptCount val="3"/>
                <c:pt idx="0">
                  <c:v>60</c:v>
                </c:pt>
                <c:pt idx="1">
                  <c:v>57.8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741376"/>
        <c:axId val="130742912"/>
        <c:axId val="0"/>
      </c:bar3DChart>
      <c:catAx>
        <c:axId val="130741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742912"/>
        <c:crosses val="autoZero"/>
        <c:auto val="1"/>
        <c:lblAlgn val="ctr"/>
        <c:lblOffset val="100"/>
        <c:noMultiLvlLbl val="0"/>
      </c:catAx>
      <c:valAx>
        <c:axId val="130742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4137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5830799283081946E-2"/>
          <c:y val="0.25192692323887322"/>
          <c:w val="0.88875773311565709"/>
          <c:h val="0.4508688344641705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599385707690149E-2"/>
                  <c:y val="-2.004881175270817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58,3%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949539280767613E-2"/>
                  <c:y val="-2.00488117527081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Hoja1!$I$256:$I$257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Hoja1!$J$256:$J$257</c:f>
              <c:numCache>
                <c:formatCode>General</c:formatCode>
                <c:ptCount val="2"/>
                <c:pt idx="0">
                  <c:v>58.3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760064"/>
        <c:axId val="130782336"/>
        <c:axId val="0"/>
      </c:bar3DChart>
      <c:catAx>
        <c:axId val="1307600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0782336"/>
        <c:crosses val="autoZero"/>
        <c:auto val="1"/>
        <c:lblAlgn val="ctr"/>
        <c:lblOffset val="100"/>
        <c:noMultiLvlLbl val="0"/>
      </c:catAx>
      <c:valAx>
        <c:axId val="130782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6006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9012959428951215E-2"/>
          <c:y val="0.20584606620788504"/>
          <c:w val="0.89609986139071374"/>
          <c:h val="0.6772267293892814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Hoja1!$C$277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6.7870631095330444E-3"/>
                  <c:y val="-1.79463108555397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870631095330444E-3"/>
                  <c:y val="-2.3928414474052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658E-2"/>
                  <c:y val="-4.78568289481059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7870631095330444E-3"/>
                  <c:y val="-2.3928414474052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Hoja1!$B$278:$B$281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  <c:pt idx="3">
                  <c:v>Sub. Fronteras </c:v>
                </c:pt>
              </c:strCache>
            </c:strRef>
          </c:cat>
          <c:val>
            <c:numRef>
              <c:f>Hoja1!$C$278:$C$281</c:f>
              <c:numCache>
                <c:formatCode>General</c:formatCode>
                <c:ptCount val="4"/>
                <c:pt idx="0">
                  <c:v>41</c:v>
                </c:pt>
                <c:pt idx="1">
                  <c:v>37</c:v>
                </c:pt>
                <c:pt idx="2">
                  <c:v>51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2974080"/>
        <c:axId val="132975616"/>
        <c:axId val="0"/>
      </c:bar3DChart>
      <c:catAx>
        <c:axId val="1329740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2975616"/>
        <c:crosses val="autoZero"/>
        <c:auto val="1"/>
        <c:lblAlgn val="ctr"/>
        <c:lblOffset val="100"/>
        <c:noMultiLvlLbl val="0"/>
      </c:catAx>
      <c:valAx>
        <c:axId val="132975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297408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9085523543554956E-2"/>
          <c:y val="0.20477884097952015"/>
          <c:w val="0.89526541481323174"/>
          <c:h val="0.60011100353462965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6.9951331498808748E-3"/>
                  <c:y val="-5.2367937956776245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37,8%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321977349722225E-2"/>
                  <c:y val="-1.047358759135524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Hoja1!$I$277:$I$278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Hoja1!$J$277:$J$278</c:f>
              <c:numCache>
                <c:formatCode>General</c:formatCode>
                <c:ptCount val="2"/>
                <c:pt idx="0">
                  <c:v>37.799999999999997</c:v>
                </c:pt>
                <c:pt idx="1">
                  <c:v>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008768"/>
        <c:axId val="133014656"/>
        <c:axId val="0"/>
      </c:bar3DChart>
      <c:catAx>
        <c:axId val="133008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014656"/>
        <c:crosses val="autoZero"/>
        <c:auto val="1"/>
        <c:lblAlgn val="ctr"/>
        <c:lblOffset val="100"/>
        <c:noMultiLvlLbl val="0"/>
      </c:catAx>
      <c:valAx>
        <c:axId val="133014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00876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2590691947620596E-2"/>
          <c:y val="0.19605303927993975"/>
          <c:w val="0.86668925458273727"/>
          <c:h val="0.6844542178471431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Hoja1!$C$299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-2.383913278115394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2.383913278115394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38,4%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742E-2"/>
                  <c:y val="-1.191956639057697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11771849221742E-2"/>
                  <c:y val="-2.979891597644232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Hoja1!$B$300:$B$303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  <c:pt idx="3">
                  <c:v>Sub. Fronteras </c:v>
                </c:pt>
              </c:strCache>
            </c:strRef>
          </c:cat>
          <c:val>
            <c:numRef>
              <c:f>Hoja1!$C$300:$C$303</c:f>
              <c:numCache>
                <c:formatCode>General</c:formatCode>
                <c:ptCount val="4"/>
                <c:pt idx="0">
                  <c:v>53</c:v>
                </c:pt>
                <c:pt idx="1">
                  <c:v>38.4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039616"/>
        <c:axId val="133041152"/>
        <c:axId val="0"/>
      </c:bar3DChart>
      <c:catAx>
        <c:axId val="1330396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041152"/>
        <c:crosses val="autoZero"/>
        <c:auto val="1"/>
        <c:lblAlgn val="ctr"/>
        <c:lblOffset val="100"/>
        <c:noMultiLvlLbl val="0"/>
      </c:catAx>
      <c:valAx>
        <c:axId val="133041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03961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9734532146256868E-2"/>
          <c:y val="0.23992496345694056"/>
          <c:w val="0.91491108269758314"/>
          <c:h val="0.55270034289720749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828763610534148E-2"/>
                  <c:y val="-5.56523263329718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2876361053419E-2"/>
                  <c:y val="-1.66956978998915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Hoja1!$I$299:$I$300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Hoja1!$J$299:$J$300</c:f>
              <c:numCache>
                <c:formatCode>General</c:formatCode>
                <c:ptCount val="2"/>
                <c:pt idx="0">
                  <c:v>30.8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070208"/>
        <c:axId val="133092480"/>
        <c:axId val="0"/>
      </c:bar3DChart>
      <c:catAx>
        <c:axId val="1330702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092480"/>
        <c:crosses val="autoZero"/>
        <c:auto val="1"/>
        <c:lblAlgn val="ctr"/>
        <c:lblOffset val="100"/>
        <c:noMultiLvlLbl val="0"/>
      </c:catAx>
      <c:valAx>
        <c:axId val="133092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07020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4487048589394755E-2"/>
          <c:y val="0.17134560837702595"/>
          <c:w val="0.90062457013040242"/>
          <c:h val="0.7097571275351378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Hoja1!$C$321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870631095330444E-3"/>
                  <c:y val="-3.79162483812822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574126219066089E-2"/>
                  <c:y val="-1.89581241906411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30,1</a:t>
                    </a:r>
                    <a:r>
                      <a:rPr lang="en-US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Hoja1!$B$322:$B$324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Hoja1!$C$322:$C$324</c:f>
              <c:numCache>
                <c:formatCode>General</c:formatCode>
                <c:ptCount val="3"/>
                <c:pt idx="0">
                  <c:v>54</c:v>
                </c:pt>
                <c:pt idx="1">
                  <c:v>50.2</c:v>
                </c:pt>
                <c:pt idx="2">
                  <c:v>30.1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133824"/>
        <c:axId val="133135360"/>
        <c:axId val="0"/>
      </c:bar3DChart>
      <c:catAx>
        <c:axId val="133133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135360"/>
        <c:crosses val="autoZero"/>
        <c:auto val="1"/>
        <c:lblAlgn val="ctr"/>
        <c:lblOffset val="100"/>
        <c:noMultiLvlLbl val="0"/>
      </c:catAx>
      <c:valAx>
        <c:axId val="133135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13382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143432172811392E-2"/>
          <c:y val="0.20724868273044816"/>
          <c:w val="0.89383750702086939"/>
          <c:h val="0.6176728731277011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2.0361189328599136E-2"/>
                  <c:y val="-2.3488566246819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172E-2"/>
                  <c:y val="-3.28839927455470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Hoja1!$I$321:$I$322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Hoja1!$J$321:$J$322</c:f>
              <c:numCache>
                <c:formatCode>General</c:formatCode>
                <c:ptCount val="2"/>
                <c:pt idx="0">
                  <c:v>44.8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156224"/>
        <c:axId val="133158016"/>
        <c:axId val="0"/>
      </c:bar3DChart>
      <c:catAx>
        <c:axId val="133156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158016"/>
        <c:crosses val="autoZero"/>
        <c:auto val="1"/>
        <c:lblAlgn val="ctr"/>
        <c:lblOffset val="100"/>
        <c:noMultiLvlLbl val="0"/>
      </c:catAx>
      <c:valAx>
        <c:axId val="133158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15622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2389084604256165"/>
          <c:w val="0.9164611297314923"/>
          <c:h val="0.6440263048445086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Hoja1!$C$129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089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35%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6.6550892567994579E-3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50,2%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0494174793774758E-3"/>
                  <c:y val="-1.3310178513598916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72%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Hoja1!$B$130:$B$132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Hoja1!$C$130:$C$132</c:f>
              <c:numCache>
                <c:formatCode>General</c:formatCode>
                <c:ptCount val="3"/>
                <c:pt idx="0">
                  <c:v>35</c:v>
                </c:pt>
                <c:pt idx="1">
                  <c:v>50.2</c:v>
                </c:pt>
                <c:pt idx="2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976384"/>
        <c:axId val="126977920"/>
        <c:axId val="0"/>
      </c:bar3DChart>
      <c:catAx>
        <c:axId val="1269763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6977920"/>
        <c:crosses val="autoZero"/>
        <c:auto val="1"/>
        <c:lblAlgn val="ctr"/>
        <c:lblOffset val="100"/>
        <c:noMultiLvlLbl val="0"/>
      </c:catAx>
      <c:valAx>
        <c:axId val="126977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697638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769819337643207E-2"/>
          <c:y val="0.22511028806769892"/>
          <c:w val="0.90741163323993546"/>
          <c:h val="0.5712724214002583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Hoja1!$C$342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6.78706310953304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836480588910438E-2"/>
                  <c:y val="-1.7174431823816474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49,4%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742E-2"/>
                  <c:y val="-1.1449621215877649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58%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11771849221742E-2"/>
                  <c:y val="-1.144962121587764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58,5%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Hoja1!$B$343:$B$346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  <c:pt idx="3">
                  <c:v>Sub. Fronteras </c:v>
                </c:pt>
              </c:strCache>
            </c:strRef>
          </c:cat>
          <c:val>
            <c:numRef>
              <c:f>Hoja1!$C$343:$C$346</c:f>
              <c:numCache>
                <c:formatCode>General</c:formatCode>
                <c:ptCount val="4"/>
                <c:pt idx="0">
                  <c:v>52</c:v>
                </c:pt>
                <c:pt idx="1">
                  <c:v>49.4</c:v>
                </c:pt>
                <c:pt idx="2">
                  <c:v>58</c:v>
                </c:pt>
                <c:pt idx="3">
                  <c:v>58.5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200128"/>
        <c:axId val="133201920"/>
        <c:axId val="0"/>
      </c:bar3DChart>
      <c:catAx>
        <c:axId val="1332001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201920"/>
        <c:crosses val="autoZero"/>
        <c:auto val="1"/>
        <c:lblAlgn val="ctr"/>
        <c:lblOffset val="100"/>
        <c:noMultiLvlLbl val="0"/>
      </c:catAx>
      <c:valAx>
        <c:axId val="133201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20012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1761232051875868"/>
          <c:y val="0.22670876204372217"/>
          <c:w val="0.82809313275691399"/>
          <c:h val="0.45616059973334006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9.0494174793773925E-3"/>
                  <c:y val="-6.388889168367796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54,5%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Hoja1!$I$342:$I$343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Hoja1!$J$342:$J$343</c:f>
              <c:numCache>
                <c:formatCode>General</c:formatCode>
                <c:ptCount val="2"/>
                <c:pt idx="0">
                  <c:v>54.5</c:v>
                </c:pt>
                <c:pt idx="1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062976"/>
        <c:axId val="126064512"/>
        <c:axId val="0"/>
      </c:bar3DChart>
      <c:catAx>
        <c:axId val="126062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6064512"/>
        <c:crosses val="autoZero"/>
        <c:auto val="1"/>
        <c:lblAlgn val="ctr"/>
        <c:lblOffset val="100"/>
        <c:noMultiLvlLbl val="0"/>
      </c:catAx>
      <c:valAx>
        <c:axId val="126064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606297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6750004009172992E-2"/>
          <c:y val="0.19651117705969368"/>
          <c:w val="0.89836221576055808"/>
          <c:h val="0.6865279372319668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Hoja1!$C$364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-1.59722175642410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-1.59722175642410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48,2%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11771849221825E-2"/>
                  <c:y val="-1.0648145042827342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29,4%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Hoja1!$B$365:$B$367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</c:strCache>
            </c:strRef>
          </c:cat>
          <c:val>
            <c:numRef>
              <c:f>Hoja1!$C$365:$C$367</c:f>
              <c:numCache>
                <c:formatCode>General</c:formatCode>
                <c:ptCount val="3"/>
                <c:pt idx="0">
                  <c:v>18</c:v>
                </c:pt>
                <c:pt idx="1">
                  <c:v>48.2</c:v>
                </c:pt>
                <c:pt idx="2">
                  <c:v>29.4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245568"/>
        <c:axId val="133251456"/>
        <c:axId val="0"/>
      </c:bar3DChart>
      <c:catAx>
        <c:axId val="1332455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251456"/>
        <c:crosses val="autoZero"/>
        <c:auto val="1"/>
        <c:lblAlgn val="ctr"/>
        <c:lblOffset val="100"/>
        <c:noMultiLvlLbl val="0"/>
      </c:catAx>
      <c:valAx>
        <c:axId val="133251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24556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6730323867887557E-2"/>
          <c:y val="0.21035769180874359"/>
          <c:w val="0.8983844830279778"/>
          <c:h val="0.6007090179801345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31,9%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361189328599136E-2"/>
                  <c:y val="-2.503483192757166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Hoja1!$I$364:$I$365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Hoja1!$J$364:$J$365</c:f>
              <c:numCache>
                <c:formatCode>General</c:formatCode>
                <c:ptCount val="2"/>
                <c:pt idx="0">
                  <c:v>31.9</c:v>
                </c:pt>
                <c:pt idx="1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272320"/>
        <c:axId val="133273856"/>
        <c:axId val="0"/>
      </c:bar3DChart>
      <c:catAx>
        <c:axId val="133272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273856"/>
        <c:crosses val="autoZero"/>
        <c:auto val="1"/>
        <c:lblAlgn val="ctr"/>
        <c:lblOffset val="100"/>
        <c:noMultiLvlLbl val="0"/>
      </c:catAx>
      <c:valAx>
        <c:axId val="133273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27232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6750004009172992E-2"/>
          <c:y val="0.18340769083039105"/>
          <c:w val="0.89836221576055808"/>
          <c:h val="0.6991216698415390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Hoja1!$C$385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83E-2"/>
                  <c:y val="-1.873574304002183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07E-2"/>
                  <c:y val="-2.341967880002729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Hoja1!$B$386:$B$387</c:f>
              <c:strCache>
                <c:ptCount val="2"/>
                <c:pt idx="0">
                  <c:v>Sub. Animal</c:v>
                </c:pt>
                <c:pt idx="1">
                  <c:v>Sub. Vegetal</c:v>
                </c:pt>
              </c:strCache>
            </c:strRef>
          </c:cat>
          <c:val>
            <c:numRef>
              <c:f>Hoja1!$C$386:$C$387</c:f>
              <c:numCache>
                <c:formatCode>General</c:formatCode>
                <c:ptCount val="2"/>
                <c:pt idx="0">
                  <c:v>38</c:v>
                </c:pt>
                <c:pt idx="1">
                  <c:v>43.2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298816"/>
        <c:axId val="133312896"/>
        <c:axId val="0"/>
      </c:bar3DChart>
      <c:catAx>
        <c:axId val="1332988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312896"/>
        <c:crosses val="autoZero"/>
        <c:auto val="1"/>
        <c:lblAlgn val="ctr"/>
        <c:lblOffset val="100"/>
        <c:noMultiLvlLbl val="0"/>
      </c:catAx>
      <c:valAx>
        <c:axId val="13331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29881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9730640366124681E-2"/>
          <c:y val="0.19954870224555263"/>
          <c:w val="0.91491662634789617"/>
          <c:h val="0.6279666083406241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523969675445089E-2"/>
                  <c:y val="-9.2592592592592587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23969675445089E-2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Hoja1!$I$385:$I$386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Hoja1!$J$385:$J$386</c:f>
              <c:numCache>
                <c:formatCode>General</c:formatCode>
                <c:ptCount val="2"/>
                <c:pt idx="0">
                  <c:v>40.6</c:v>
                </c:pt>
                <c:pt idx="1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341952"/>
        <c:axId val="133343488"/>
        <c:axId val="0"/>
      </c:bar3DChart>
      <c:catAx>
        <c:axId val="1333419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343488"/>
        <c:crosses val="autoZero"/>
        <c:auto val="1"/>
        <c:lblAlgn val="ctr"/>
        <c:lblOffset val="100"/>
        <c:noMultiLvlLbl val="0"/>
      </c:catAx>
      <c:valAx>
        <c:axId val="133343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34195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0247820665717173E-2"/>
          <c:y val="0.20098780237640634"/>
          <c:w val="0.89447203444853896"/>
          <c:h val="0.6555778136993365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Hoja1!$C$405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788970126793339E-2"/>
                  <c:y val="-2.289924243175529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385293502391174E-2"/>
                  <c:y val="-1.717443182381647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33,8%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Hoja1!$B$406:$B$407</c:f>
              <c:strCache>
                <c:ptCount val="2"/>
                <c:pt idx="0">
                  <c:v>Sub. Animal</c:v>
                </c:pt>
                <c:pt idx="1">
                  <c:v>Sub. Vegetal</c:v>
                </c:pt>
              </c:strCache>
            </c:strRef>
          </c:cat>
          <c:val>
            <c:numRef>
              <c:f>Hoja1!$C$406:$C$407</c:f>
              <c:numCache>
                <c:formatCode>General</c:formatCode>
                <c:ptCount val="2"/>
                <c:pt idx="0">
                  <c:v>45</c:v>
                </c:pt>
                <c:pt idx="1">
                  <c:v>33.799999999999997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380736"/>
        <c:axId val="133394816"/>
        <c:axId val="0"/>
      </c:bar3DChart>
      <c:catAx>
        <c:axId val="1333807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394816"/>
        <c:crosses val="autoZero"/>
        <c:auto val="1"/>
        <c:lblAlgn val="ctr"/>
        <c:lblOffset val="100"/>
        <c:noMultiLvlLbl val="0"/>
      </c:catAx>
      <c:valAx>
        <c:axId val="133394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38073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7832319152876972E-2"/>
          <c:y val="0.19954870224555263"/>
          <c:w val="0.89692447218675031"/>
          <c:h val="0.6279666083406241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474299286226305E-2"/>
                  <c:y val="-1.851851851851860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39,4%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884579571735867E-3"/>
                  <c:y val="-2.77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Hoja1!$I$405:$I$406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Hoja1!$J$405:$J$406</c:f>
              <c:numCache>
                <c:formatCode>General</c:formatCode>
                <c:ptCount val="2"/>
                <c:pt idx="0">
                  <c:v>39.4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411584"/>
        <c:axId val="133413120"/>
        <c:axId val="0"/>
      </c:bar3DChart>
      <c:catAx>
        <c:axId val="133411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413120"/>
        <c:crosses val="autoZero"/>
        <c:auto val="1"/>
        <c:lblAlgn val="ctr"/>
        <c:lblOffset val="100"/>
        <c:noMultiLvlLbl val="0"/>
      </c:catAx>
      <c:valAx>
        <c:axId val="133413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41158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23188911303442442"/>
          <c:w val="0.9164611297314923"/>
          <c:h val="0.6497471108347743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Hoja1!$C$425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6.7873303167420816E-3"/>
                  <c:y val="-2.527805864509605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-1.010900210617476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574126219066089E-2"/>
                  <c:y val="-2.527250526543692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Hoja1!$B$426:$B$428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Diagnosticos</c:v>
                </c:pt>
              </c:strCache>
            </c:strRef>
          </c:cat>
          <c:val>
            <c:numRef>
              <c:f>Hoja1!$C$426:$C$428</c:f>
              <c:numCache>
                <c:formatCode>General</c:formatCode>
                <c:ptCount val="3"/>
                <c:pt idx="0">
                  <c:v>36</c:v>
                </c:pt>
                <c:pt idx="1">
                  <c:v>33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573248"/>
        <c:axId val="133583232"/>
        <c:axId val="0"/>
      </c:bar3DChart>
      <c:catAx>
        <c:axId val="133573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583232"/>
        <c:crosses val="autoZero"/>
        <c:auto val="1"/>
        <c:lblAlgn val="ctr"/>
        <c:lblOffset val="100"/>
        <c:noMultiLvlLbl val="0"/>
      </c:catAx>
      <c:valAx>
        <c:axId val="133583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57324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9444230953551853E-2"/>
          <c:y val="0.20490080631812915"/>
          <c:w val="0.90251522130346495"/>
          <c:h val="0.57166531051083025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201964773106954E-2"/>
                  <c:y val="-6.0045946969499971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35,7%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7721036974540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Hoja1!$I$425:$I$426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Hoja1!$J$425:$J$426</c:f>
              <c:numCache>
                <c:formatCode>General</c:formatCode>
                <c:ptCount val="2"/>
                <c:pt idx="0">
                  <c:v>35.700000000000003</c:v>
                </c:pt>
                <c:pt idx="1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616384"/>
        <c:axId val="133617920"/>
        <c:axId val="0"/>
      </c:bar3DChart>
      <c:catAx>
        <c:axId val="1336163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617920"/>
        <c:crosses val="autoZero"/>
        <c:auto val="1"/>
        <c:lblAlgn val="ctr"/>
        <c:lblOffset val="100"/>
        <c:noMultiLvlLbl val="0"/>
      </c:catAx>
      <c:valAx>
        <c:axId val="133617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61638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0380959248066634E-2"/>
          <c:y val="0.18883354070187888"/>
          <c:w val="0.88411882343320591"/>
          <c:h val="0.5986354101630051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590873911735545E-2"/>
                  <c:y val="-5.704365636362411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909048694082703E-2"/>
                  <c:y val="-5.704365636362411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Hoja1!$I$129:$I$130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Hoja1!$J$129:$J$130</c:f>
              <c:numCache>
                <c:formatCode>General</c:formatCode>
                <c:ptCount val="2"/>
                <c:pt idx="0">
                  <c:v>52.4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6991360"/>
        <c:axId val="127001344"/>
        <c:axId val="0"/>
      </c:bar3DChart>
      <c:catAx>
        <c:axId val="126991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001344"/>
        <c:crosses val="autoZero"/>
        <c:auto val="1"/>
        <c:lblAlgn val="ctr"/>
        <c:lblOffset val="100"/>
        <c:noMultiLvlLbl val="0"/>
      </c:catAx>
      <c:valAx>
        <c:axId val="127001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699136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0516561607724506E-2"/>
          <c:y val="0.20417833187518228"/>
          <c:w val="0.91379712000658986"/>
          <c:h val="0.6798417906095071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Hoja1!$C$446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4010719119464915E-2"/>
                  <c:y val="-1.95578187642127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010719119464915E-2"/>
                  <c:y val="-2.60770916856170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010719119464915E-2"/>
                  <c:y val="-2.60770916856170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010719119464915E-2"/>
                  <c:y val="-1.30385458428085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Hoja1!$B$447:$B$450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  <c:pt idx="3">
                  <c:v>Sub. Diagnosticos</c:v>
                </c:pt>
              </c:strCache>
            </c:strRef>
          </c:cat>
          <c:val>
            <c:numRef>
              <c:f>Hoja1!$C$447:$C$450</c:f>
              <c:numCache>
                <c:formatCode>General</c:formatCode>
                <c:ptCount val="4"/>
                <c:pt idx="0">
                  <c:v>55</c:v>
                </c:pt>
                <c:pt idx="1">
                  <c:v>42.4</c:v>
                </c:pt>
                <c:pt idx="2">
                  <c:v>37.6</c:v>
                </c:pt>
                <c:pt idx="3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507712"/>
        <c:axId val="133534080"/>
        <c:axId val="0"/>
      </c:bar3DChart>
      <c:catAx>
        <c:axId val="133507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3534080"/>
        <c:crosses val="autoZero"/>
        <c:auto val="1"/>
        <c:lblAlgn val="ctr"/>
        <c:lblOffset val="100"/>
        <c:noMultiLvlLbl val="0"/>
      </c:catAx>
      <c:valAx>
        <c:axId val="133534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50771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2245608514079495E-2"/>
          <c:y val="0.18103018372703411"/>
          <c:w val="0.91133417731765043"/>
          <c:h val="0.64648512685914261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4432731161403013E-2"/>
                  <c:y val="-1.83588711173517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027275967835756E-2"/>
                  <c:y val="-1.2239247411567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Hoja1!$I$446:$I$447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Hoja1!$J$446:$J$447</c:f>
              <c:numCache>
                <c:formatCode>General</c:formatCode>
                <c:ptCount val="2"/>
                <c:pt idx="0">
                  <c:v>39.1</c:v>
                </c:pt>
                <c:pt idx="1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778496"/>
        <c:axId val="136780032"/>
        <c:axId val="0"/>
      </c:bar3DChart>
      <c:catAx>
        <c:axId val="136778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780032"/>
        <c:crosses val="autoZero"/>
        <c:auto val="1"/>
        <c:lblAlgn val="ctr"/>
        <c:lblOffset val="100"/>
        <c:noMultiLvlLbl val="0"/>
      </c:catAx>
      <c:valAx>
        <c:axId val="136780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77849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9133335357559484E-2"/>
          <c:y val="0.19491907261592301"/>
          <c:w val="0.91576745809717108"/>
          <c:h val="0.6891010498687664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Hoja1!$C$468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253968396559558E-2"/>
                  <c:y val="-2.314814814814806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90476297419669E-2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Hoja1!$B$469:$B$470</c:f>
              <c:strCache>
                <c:ptCount val="2"/>
                <c:pt idx="0">
                  <c:v>Sub. Animal</c:v>
                </c:pt>
                <c:pt idx="1">
                  <c:v>Sub. Vegetal</c:v>
                </c:pt>
              </c:strCache>
            </c:strRef>
          </c:cat>
          <c:val>
            <c:numRef>
              <c:f>Hoja1!$C$469:$C$470</c:f>
              <c:numCache>
                <c:formatCode>General</c:formatCode>
                <c:ptCount val="2"/>
                <c:pt idx="0">
                  <c:v>17</c:v>
                </c:pt>
                <c:pt idx="1">
                  <c:v>22.1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800896"/>
        <c:axId val="136819072"/>
        <c:axId val="0"/>
      </c:bar3DChart>
      <c:catAx>
        <c:axId val="1368008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819072"/>
        <c:crosses val="autoZero"/>
        <c:auto val="1"/>
        <c:lblAlgn val="ctr"/>
        <c:lblOffset val="100"/>
        <c:noMultiLvlLbl val="0"/>
      </c:catAx>
      <c:valAx>
        <c:axId val="136819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80089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4257690761627776E-2"/>
          <c:y val="0.17640055409740449"/>
          <c:w val="0.89932498905934577"/>
          <c:h val="0.65111475648877226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6812863561626472E-2"/>
                  <c:y val="-9.2592592592592587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19,6%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6073506066436717E-3"/>
                  <c:y val="-1.851851851851851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Hoja1!$I$468:$I$469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Hoja1!$J$468:$J$469</c:f>
              <c:numCache>
                <c:formatCode>General</c:formatCode>
                <c:ptCount val="2"/>
                <c:pt idx="0">
                  <c:v>19.600000000000001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844032"/>
        <c:axId val="136845568"/>
        <c:axId val="0"/>
      </c:bar3DChart>
      <c:catAx>
        <c:axId val="1368440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845568"/>
        <c:crosses val="autoZero"/>
        <c:auto val="1"/>
        <c:lblAlgn val="ctr"/>
        <c:lblOffset val="100"/>
        <c:noMultiLvlLbl val="0"/>
      </c:catAx>
      <c:valAx>
        <c:axId val="136845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84403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713944987842666E-2"/>
          <c:y val="0.18684040234615643"/>
          <c:w val="0.91636485915153765"/>
          <c:h val="0.6813277527253078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Hoja1!$C$488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27816300281679E-2"/>
                  <c:y val="-3.071581390376711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27816300281679E-2"/>
                  <c:y val="-4.914530224602738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35,8%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124506080450686E-2"/>
                  <c:y val="-5.528846502678085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41,4%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593379560338015E-2"/>
                  <c:y val="-3.071581390376711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Hoja1!$B$489:$B$492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  <c:pt idx="3">
                  <c:v>Sub. Diagnosticos</c:v>
                </c:pt>
              </c:strCache>
            </c:strRef>
          </c:cat>
          <c:val>
            <c:numRef>
              <c:f>Hoja1!$C$489:$C$492</c:f>
              <c:numCache>
                <c:formatCode>General</c:formatCode>
                <c:ptCount val="4"/>
                <c:pt idx="0">
                  <c:v>42</c:v>
                </c:pt>
                <c:pt idx="1">
                  <c:v>35.799999999999997</c:v>
                </c:pt>
                <c:pt idx="2">
                  <c:v>41.4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886912"/>
        <c:axId val="136905088"/>
        <c:axId val="0"/>
      </c:bar3DChart>
      <c:catAx>
        <c:axId val="1368869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905088"/>
        <c:crosses val="autoZero"/>
        <c:auto val="1"/>
        <c:lblAlgn val="ctr"/>
        <c:lblOffset val="100"/>
        <c:noMultiLvlLbl val="0"/>
      </c:catAx>
      <c:valAx>
        <c:axId val="136905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88691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452973903581497E-2"/>
          <c:y val="0.20539800868952235"/>
          <c:w val="0.87968392790932959"/>
          <c:h val="0.5766043044961849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4197532014316776E-2"/>
                  <c:y val="-1.170125677947323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197532014316776E-2"/>
                  <c:y val="-3.5103770338419694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78%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Hoja1!$I$488:$I$489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Hoja1!$J$488:$J$489</c:f>
              <c:numCache>
                <c:formatCode>General</c:formatCode>
                <c:ptCount val="2"/>
                <c:pt idx="0">
                  <c:v>40.799999999999997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914048"/>
        <c:axId val="136915584"/>
        <c:axId val="0"/>
      </c:bar3DChart>
      <c:catAx>
        <c:axId val="1369140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915584"/>
        <c:crosses val="autoZero"/>
        <c:auto val="1"/>
        <c:lblAlgn val="ctr"/>
        <c:lblOffset val="100"/>
        <c:noMultiLvlLbl val="0"/>
      </c:catAx>
      <c:valAx>
        <c:axId val="136915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91404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24173377334455709"/>
          <c:w val="0.9164611297314923"/>
          <c:h val="0.6397626621175664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Hoja1!$C$596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311771849221742E-2"/>
                  <c:y val="-1.262626262626262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-1.89393939393939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69,5%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0494174793773925E-3"/>
                  <c:y val="-6.31313131313131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117718492217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Hoja1!$B$597:$B$600</c:f>
              <c:strCache>
                <c:ptCount val="4"/>
                <c:pt idx="0">
                  <c:v>Sub. Animal</c:v>
                </c:pt>
                <c:pt idx="1">
                  <c:v>Sub. Fronteras</c:v>
                </c:pt>
                <c:pt idx="2">
                  <c:v>Sub. Diagnostico</c:v>
                </c:pt>
                <c:pt idx="3">
                  <c:v>Sub. Vegetal</c:v>
                </c:pt>
              </c:strCache>
            </c:strRef>
          </c:cat>
          <c:val>
            <c:numRef>
              <c:f>Hoja1!$C$597:$C$600</c:f>
              <c:numCache>
                <c:formatCode>General</c:formatCode>
                <c:ptCount val="4"/>
                <c:pt idx="0">
                  <c:v>52</c:v>
                </c:pt>
                <c:pt idx="1">
                  <c:v>69.5</c:v>
                </c:pt>
                <c:pt idx="2">
                  <c:v>74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944640"/>
        <c:axId val="136958720"/>
        <c:axId val="0"/>
      </c:bar3DChart>
      <c:catAx>
        <c:axId val="136944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958720"/>
        <c:crosses val="autoZero"/>
        <c:auto val="1"/>
        <c:lblAlgn val="ctr"/>
        <c:lblOffset val="100"/>
        <c:noMultiLvlLbl val="0"/>
      </c:catAx>
      <c:valAx>
        <c:axId val="136958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94464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1303599417563971"/>
          <c:y val="0.17709634758464429"/>
          <c:w val="0.83043337217836422"/>
          <c:h val="0.53651590652617698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50,3%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90%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Hoja1!$I$595:$I$596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Hoja1!$J$595:$J$596</c:f>
              <c:numCache>
                <c:formatCode>General</c:formatCode>
                <c:ptCount val="2"/>
                <c:pt idx="0">
                  <c:v>50.3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988160"/>
        <c:axId val="136989696"/>
        <c:axId val="0"/>
      </c:bar3DChart>
      <c:catAx>
        <c:axId val="1369881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6989696"/>
        <c:crosses val="autoZero"/>
        <c:auto val="1"/>
        <c:lblAlgn val="ctr"/>
        <c:lblOffset val="100"/>
        <c:noMultiLvlLbl val="0"/>
      </c:catAx>
      <c:valAx>
        <c:axId val="1369896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98816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18310709288241334"/>
          <c:w val="0.9164611297314923"/>
          <c:h val="0.6995824245921494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Hoja1!$C$510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4.5247087396886963E-3"/>
                  <c:y val="-4.78568289481059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-3.5892621711079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574126219066089E-2"/>
                  <c:y val="-2.99105180925662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11771849221742E-2"/>
                  <c:y val="-3.589262171107946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Hoja1!$B$511:$B$514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  <c:pt idx="3">
                  <c:v>Sub. Diagnosticos</c:v>
                </c:pt>
              </c:strCache>
            </c:strRef>
          </c:cat>
          <c:val>
            <c:numRef>
              <c:f>Hoja1!$C$511:$C$514</c:f>
              <c:numCache>
                <c:formatCode>General</c:formatCode>
                <c:ptCount val="4"/>
                <c:pt idx="0">
                  <c:v>56</c:v>
                </c:pt>
                <c:pt idx="1">
                  <c:v>53.5</c:v>
                </c:pt>
                <c:pt idx="2">
                  <c:v>50.1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010560"/>
        <c:axId val="137028736"/>
        <c:axId val="0"/>
      </c:bar3DChart>
      <c:catAx>
        <c:axId val="137010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028736"/>
        <c:crosses val="autoZero"/>
        <c:auto val="1"/>
        <c:lblAlgn val="ctr"/>
        <c:lblOffset val="100"/>
        <c:noMultiLvlLbl val="0"/>
      </c:catAx>
      <c:valAx>
        <c:axId val="137028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01056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8155839971293989E-2"/>
          <c:y val="0.23188186871026148"/>
          <c:w val="0.88643280990219575"/>
          <c:h val="0.4709142105105293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599385707690149E-2"/>
                  <c:y val="-1.25765548261044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47,4%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99385707690149E-2"/>
                  <c:y val="-6.288277413052243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Hoja1!$I$510:$I$511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Hoja1!$J$510:$J$511</c:f>
              <c:numCache>
                <c:formatCode>General</c:formatCode>
                <c:ptCount val="2"/>
                <c:pt idx="0">
                  <c:v>47.4</c:v>
                </c:pt>
                <c:pt idx="1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074176"/>
        <c:axId val="137075712"/>
        <c:axId val="0"/>
      </c:bar3DChart>
      <c:catAx>
        <c:axId val="1370741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075712"/>
        <c:crosses val="autoZero"/>
        <c:auto val="1"/>
        <c:lblAlgn val="ctr"/>
        <c:lblOffset val="100"/>
        <c:noMultiLvlLbl val="0"/>
      </c:catAx>
      <c:valAx>
        <c:axId val="137075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07417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2204910164045635E-2"/>
          <c:y val="0.20487517781651338"/>
          <c:w val="0.9098120446677822"/>
          <c:h val="0.6049300743246660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Hoja1!$C$67</c:f>
              <c:strCache>
                <c:ptCount val="1"/>
                <c:pt idx="0">
                  <c:v>Porcentaje Cumplimiento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1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117718492217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5741262190660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Hoja1!$B$68:$B$70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</c:strCache>
            </c:strRef>
          </c:cat>
          <c:val>
            <c:numRef>
              <c:f>Hoja1!$C$68:$C$70</c:f>
              <c:numCache>
                <c:formatCode>General</c:formatCode>
                <c:ptCount val="3"/>
                <c:pt idx="0">
                  <c:v>67</c:v>
                </c:pt>
                <c:pt idx="1">
                  <c:v>40</c:v>
                </c:pt>
                <c:pt idx="2">
                  <c:v>40.299999999999997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189376"/>
        <c:axId val="127190912"/>
        <c:axId val="0"/>
      </c:bar3DChart>
      <c:catAx>
        <c:axId val="127189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190912"/>
        <c:crosses val="autoZero"/>
        <c:auto val="1"/>
        <c:lblAlgn val="ctr"/>
        <c:lblOffset val="100"/>
        <c:noMultiLvlLbl val="0"/>
      </c:catAx>
      <c:valAx>
        <c:axId val="127190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718937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5.8646360650947145E-2"/>
          <c:y val="0.16850650961511959"/>
          <c:w val="0.9164611297314923"/>
          <c:h val="0.7145662859820468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Hoja1!$C$532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4.5247087396886963E-3"/>
                  <c:y val="-2.89351851851851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574126219066089E-2"/>
                  <c:y val="-3.4722222222222224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/>
                      <a:t>48,2%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623543698443566E-2"/>
                  <c:y val="-1.73611111111111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Hoja1!$B$533:$B$535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</c:strCache>
            </c:strRef>
          </c:cat>
          <c:val>
            <c:numRef>
              <c:f>Hoja1!$C$533:$C$535</c:f>
              <c:numCache>
                <c:formatCode>General</c:formatCode>
                <c:ptCount val="3"/>
                <c:pt idx="0">
                  <c:v>33</c:v>
                </c:pt>
                <c:pt idx="1">
                  <c:v>48.2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105408"/>
        <c:axId val="137106944"/>
        <c:axId val="0"/>
      </c:bar3DChart>
      <c:catAx>
        <c:axId val="1371054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106944"/>
        <c:crosses val="autoZero"/>
        <c:auto val="1"/>
        <c:lblAlgn val="ctr"/>
        <c:lblOffset val="100"/>
        <c:noMultiLvlLbl val="0"/>
      </c:catAx>
      <c:valAx>
        <c:axId val="137106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10540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0617829250561277E-2"/>
          <c:y val="0.22322582624569648"/>
          <c:w val="0.88393418759779596"/>
          <c:h val="0.5693892980883650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6298185291483559E-2"/>
                  <c:y val="-5.56523507202378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62649747598126E-2"/>
                  <c:y val="-1.66957052160713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Hoja1!$I$532:$I$533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Hoja1!$J$532:$J$533</c:f>
              <c:numCache>
                <c:formatCode>General</c:formatCode>
                <c:ptCount val="2"/>
                <c:pt idx="0">
                  <c:v>32.1</c:v>
                </c:pt>
                <c:pt idx="1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140096"/>
        <c:axId val="137141632"/>
        <c:axId val="0"/>
      </c:bar3DChart>
      <c:catAx>
        <c:axId val="13714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141632"/>
        <c:crosses val="autoZero"/>
        <c:auto val="1"/>
        <c:lblAlgn val="ctr"/>
        <c:lblOffset val="100"/>
        <c:noMultiLvlLbl val="0"/>
      </c:catAx>
      <c:valAx>
        <c:axId val="137141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140096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20000"/>
            <a:lumOff val="80000"/>
          </a:schemeClr>
        </a:solidFill>
      </c:spPr>
    </c:sideWall>
    <c:backWall>
      <c:thickness val="0"/>
      <c:spPr>
        <a:solidFill>
          <a:schemeClr val="tx2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7.7063909956040774E-2"/>
          <c:y val="0.2114263088725892"/>
          <c:w val="0.89810988543887427"/>
          <c:h val="0.645551911217945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Hoja1!$C$553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9.0880353331364259E-3"/>
                  <c:y val="-3.56522852272650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880353331364259E-3"/>
                  <c:y val="-4.2782742272718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60044166420615E-2"/>
                  <c:y val="-1.4260914090906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60044166420532E-2"/>
                  <c:y val="-3.56522852272650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Hoja1!$B$554:$B$557</c:f>
              <c:strCache>
                <c:ptCount val="4"/>
                <c:pt idx="0">
                  <c:v>Sub. Animal</c:v>
                </c:pt>
                <c:pt idx="1">
                  <c:v>Sub. Vegetal</c:v>
                </c:pt>
                <c:pt idx="2">
                  <c:v>Sub. Fronteras</c:v>
                </c:pt>
                <c:pt idx="3">
                  <c:v>Sub. Diagnostico</c:v>
                </c:pt>
              </c:strCache>
            </c:strRef>
          </c:cat>
          <c:val>
            <c:numRef>
              <c:f>Hoja1!$C$554:$C$557</c:f>
              <c:numCache>
                <c:formatCode>General</c:formatCode>
                <c:ptCount val="4"/>
                <c:pt idx="0">
                  <c:v>51</c:v>
                </c:pt>
                <c:pt idx="1">
                  <c:v>46</c:v>
                </c:pt>
                <c:pt idx="2">
                  <c:v>52</c:v>
                </c:pt>
                <c:pt idx="3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175040"/>
        <c:axId val="137176576"/>
        <c:axId val="0"/>
      </c:bar3DChart>
      <c:catAx>
        <c:axId val="1371750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176576"/>
        <c:crosses val="autoZero"/>
        <c:auto val="1"/>
        <c:lblAlgn val="ctr"/>
        <c:lblOffset val="100"/>
        <c:noMultiLvlLbl val="0"/>
      </c:catAx>
      <c:valAx>
        <c:axId val="137176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17504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3321880671210468E-2"/>
          <c:y val="0.20651816918607099"/>
          <c:w val="0.90064877716125524"/>
          <c:h val="0.4962775513296940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1831276678597314E-2"/>
                  <c:y val="-1.33658745018055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63787350036326E-2"/>
                  <c:y val="-6.68293725090272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Hoja1!$I$553:$I$554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Hoja1!$J$553:$J$554</c:f>
              <c:numCache>
                <c:formatCode>General</c:formatCode>
                <c:ptCount val="2"/>
                <c:pt idx="0">
                  <c:v>52.5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205632"/>
        <c:axId val="137207168"/>
        <c:axId val="0"/>
      </c:bar3DChart>
      <c:catAx>
        <c:axId val="1372056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207168"/>
        <c:crosses val="autoZero"/>
        <c:auto val="1"/>
        <c:lblAlgn val="ctr"/>
        <c:lblOffset val="100"/>
        <c:noMultiLvlLbl val="0"/>
      </c:catAx>
      <c:valAx>
        <c:axId val="137207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20563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8949275851667758E-2"/>
          <c:y val="0.18103018372703411"/>
          <c:w val="0.88594182543889288"/>
          <c:h val="0.7029899387576552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Hoja1!$C$575</c:f>
              <c:strCache>
                <c:ptCount val="1"/>
                <c:pt idx="0">
                  <c:v>Porcentaje cumplimiento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9.1400408998838067E-3"/>
                  <c:y val="-1.09025369001512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710061349825709E-2"/>
                  <c:y val="-3.27076107004536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10061349825626E-2"/>
                  <c:y val="-1.63538053502268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Hoja1!$B$576:$B$578</c:f>
              <c:strCache>
                <c:ptCount val="3"/>
                <c:pt idx="0">
                  <c:v>Sub. Animal</c:v>
                </c:pt>
                <c:pt idx="1">
                  <c:v>Sub. Vegetal</c:v>
                </c:pt>
                <c:pt idx="2">
                  <c:v>Sub. Diagnostico</c:v>
                </c:pt>
              </c:strCache>
            </c:strRef>
          </c:cat>
          <c:val>
            <c:numRef>
              <c:f>Hoja1!$C$576:$C$578</c:f>
              <c:numCache>
                <c:formatCode>General</c:formatCode>
                <c:ptCount val="3"/>
                <c:pt idx="0">
                  <c:v>45</c:v>
                </c:pt>
                <c:pt idx="1">
                  <c:v>31.9</c:v>
                </c:pt>
                <c:pt idx="2">
                  <c:v>27.4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244672"/>
        <c:axId val="137246208"/>
        <c:axId val="0"/>
      </c:bar3DChart>
      <c:catAx>
        <c:axId val="1372446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246208"/>
        <c:crosses val="autoZero"/>
        <c:auto val="1"/>
        <c:lblAlgn val="ctr"/>
        <c:lblOffset val="100"/>
        <c:noMultiLvlLbl val="0"/>
      </c:catAx>
      <c:valAx>
        <c:axId val="137246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24467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8.4120151647710695E-2"/>
          <c:y val="0.19491907261592301"/>
          <c:w val="0.87715326387583192"/>
          <c:h val="0.6325962379702537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822792949379461E-2"/>
                  <c:y val="-1.388888888888888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34,8%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227929493794693E-2"/>
                  <c:y val="-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Hoja1!$I$575:$I$576</c:f>
              <c:strCache>
                <c:ptCount val="2"/>
                <c:pt idx="0">
                  <c:v>Ejecución Plan Acción I Semestre</c:v>
                </c:pt>
                <c:pt idx="1">
                  <c:v>Presupuesto  Comprometido I Semestre</c:v>
                </c:pt>
              </c:strCache>
            </c:strRef>
          </c:cat>
          <c:val>
            <c:numRef>
              <c:f>Hoja1!$J$575:$J$576</c:f>
              <c:numCache>
                <c:formatCode>General</c:formatCode>
                <c:ptCount val="2"/>
                <c:pt idx="0">
                  <c:v>34.799999999999997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279360"/>
        <c:axId val="137280896"/>
        <c:axId val="0"/>
      </c:bar3DChart>
      <c:catAx>
        <c:axId val="137279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37280896"/>
        <c:crosses val="autoZero"/>
        <c:auto val="1"/>
        <c:lblAlgn val="ctr"/>
        <c:lblOffset val="100"/>
        <c:noMultiLvlLbl val="0"/>
      </c:catAx>
      <c:valAx>
        <c:axId val="137280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27936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008515943774338"/>
          <c:y val="0.19229085092013148"/>
          <c:w val="0.85489407103237769"/>
          <c:h val="0.6146233236703621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778849466069583E-2"/>
                  <c:y val="-4.990019960079840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49,1%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683455190190072E-2"/>
                  <c:y val="-4.9913202120564354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Hoja1!$G$48:$H$48</c:f>
              <c:strCache>
                <c:ptCount val="2"/>
                <c:pt idx="0">
                  <c:v>Ejecucion Metas I Semestre</c:v>
                </c:pt>
                <c:pt idx="1">
                  <c:v>Presupuesto Comprometido I Semestre</c:v>
                </c:pt>
              </c:strCache>
            </c:strRef>
          </c:cat>
          <c:val>
            <c:numRef>
              <c:f>Hoja1!$G$49:$H$49</c:f>
              <c:numCache>
                <c:formatCode>General</c:formatCode>
                <c:ptCount val="2"/>
                <c:pt idx="0">
                  <c:v>49.1</c:v>
                </c:pt>
                <c:pt idx="1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338752"/>
        <c:axId val="127348736"/>
        <c:axId val="0"/>
      </c:bar3DChart>
      <c:catAx>
        <c:axId val="127338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348736"/>
        <c:crosses val="autoZero"/>
        <c:auto val="1"/>
        <c:lblAlgn val="ctr"/>
        <c:lblOffset val="100"/>
        <c:noMultiLvlLbl val="0"/>
      </c:catAx>
      <c:valAx>
        <c:axId val="127348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733875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6.3819510371487254E-2"/>
          <c:y val="0.14681722076407117"/>
          <c:w val="0.90909223115727555"/>
          <c:h val="0.6816473461650627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Hoja1!$H$67</c:f>
              <c:strCache>
                <c:ptCount val="1"/>
                <c:pt idx="0">
                  <c:v>Porcentaje Cumplimiento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3574126219066089E-2"/>
                  <c:y val="-5.3063852527615142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09883495875478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58,2%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Hoja1!$G$68:$G$69</c:f>
              <c:strCache>
                <c:ptCount val="2"/>
                <c:pt idx="0">
                  <c:v>Sub. Animal</c:v>
                </c:pt>
                <c:pt idx="1">
                  <c:v>Sub. Vegetal</c:v>
                </c:pt>
              </c:strCache>
            </c:strRef>
          </c:cat>
          <c:val>
            <c:numRef>
              <c:f>Hoja1!$H$68:$H$69</c:f>
              <c:numCache>
                <c:formatCode>General</c:formatCode>
                <c:ptCount val="2"/>
                <c:pt idx="0">
                  <c:v>40</c:v>
                </c:pt>
                <c:pt idx="1">
                  <c:v>58.2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369600"/>
        <c:axId val="127371136"/>
        <c:axId val="0"/>
      </c:bar3DChart>
      <c:catAx>
        <c:axId val="127369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371136"/>
        <c:crosses val="autoZero"/>
        <c:auto val="1"/>
        <c:lblAlgn val="ctr"/>
        <c:lblOffset val="100"/>
        <c:noMultiLvlLbl val="0"/>
      </c:catAx>
      <c:valAx>
        <c:axId val="127371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736960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40000"/>
            <a:lumOff val="60000"/>
          </a:schemeClr>
        </a:solidFill>
      </c:spPr>
    </c:sideWall>
    <c:backWall>
      <c:thickness val="0"/>
      <c:spPr>
        <a:solidFill>
          <a:schemeClr val="tx2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7.0119544629222777E-2"/>
          <c:y val="0.21474670681838751"/>
          <c:w val="0.90498794575321673"/>
          <c:h val="0.5905446903336262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 prstMaterial="dkEdge">
              <a:bevelT prst="relaxedInset"/>
              <a:bevelB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802075523089287E-2"/>
                  <c:y val="0.1336690368949229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49,1%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55694718404681E-2"/>
                  <c:y val="0.2083335390286245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Hoja1!$B$88:$C$88</c:f>
              <c:strCache>
                <c:ptCount val="2"/>
                <c:pt idx="0">
                  <c:v>Ejecucion Metas I Semestre</c:v>
                </c:pt>
                <c:pt idx="1">
                  <c:v>Presupuesto Comprometido I Semestre</c:v>
                </c:pt>
              </c:strCache>
            </c:strRef>
          </c:cat>
          <c:val>
            <c:numRef>
              <c:f>Hoja1!$B$89:$C$89</c:f>
              <c:numCache>
                <c:formatCode>General</c:formatCode>
                <c:ptCount val="2"/>
                <c:pt idx="0">
                  <c:v>49.1</c:v>
                </c:pt>
                <c:pt idx="1">
                  <c:v>84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392384"/>
        <c:axId val="127537536"/>
        <c:axId val="0"/>
      </c:bar3DChart>
      <c:catAx>
        <c:axId val="1273923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s-CO"/>
          </a:p>
        </c:txPr>
        <c:crossAx val="127537536"/>
        <c:crosses val="autoZero"/>
        <c:auto val="1"/>
        <c:lblAlgn val="ctr"/>
        <c:lblOffset val="100"/>
        <c:noMultiLvlLbl val="0"/>
      </c:catAx>
      <c:valAx>
        <c:axId val="127537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7392384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0.10663</cdr:x>
      <cdr:y>0.02132</cdr:y>
    </cdr:from>
    <cdr:to>
      <cdr:x>0.92177</cdr:x>
      <cdr:y>0.09537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99033" y="39757"/>
          <a:ext cx="4579315" cy="13810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Atlántico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0.20844</cdr:x>
      <cdr:y>0.03493</cdr:y>
    </cdr:from>
    <cdr:to>
      <cdr:x>0.8617</cdr:x>
      <cdr:y>0.13457</cdr:y>
    </cdr:to>
    <cdr:sp macro="" textlink="">
      <cdr:nvSpPr>
        <cdr:cNvPr id="3" name="1 Rectángulo"/>
        <cdr:cNvSpPr/>
      </cdr:nvSpPr>
      <cdr:spPr>
        <a:xfrm xmlns:a="http://schemas.openxmlformats.org/drawingml/2006/main">
          <a:off x="1169391" y="71792"/>
          <a:ext cx="3664914" cy="20482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Metas Plan Acción Vs Presupuesto I</a:t>
          </a:r>
          <a:r>
            <a:rPr lang="es-CO" sz="900" baseline="0">
              <a:latin typeface="Trebuchet MS" panose="020B0603020202020204" pitchFamily="34" charset="0"/>
            </a:rPr>
            <a:t>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0.16006</cdr:x>
      <cdr:y>0.04533</cdr:y>
    </cdr:from>
    <cdr:to>
      <cdr:x>0.90443</cdr:x>
      <cdr:y>0.12489</cdr:y>
    </cdr:to>
    <cdr:sp macro="" textlink="">
      <cdr:nvSpPr>
        <cdr:cNvPr id="6" name="5 Rectángulo"/>
        <cdr:cNvSpPr/>
      </cdr:nvSpPr>
      <cdr:spPr>
        <a:xfrm xmlns:a="http://schemas.openxmlformats.org/drawingml/2006/main">
          <a:off x="871016" y="98133"/>
          <a:ext cx="4050841" cy="17221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</a:t>
          </a:r>
          <a:r>
            <a:rPr lang="es-CO" sz="900" baseline="0">
              <a:latin typeface="Trebuchet MS" panose="020B0603020202020204" pitchFamily="34" charset="0"/>
            </a:rPr>
            <a:t> - Gerencia Seccional Caldas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0.18802</cdr:x>
      <cdr:y>0.05397</cdr:y>
    </cdr:from>
    <cdr:to>
      <cdr:x>0.84724</cdr:x>
      <cdr:y>0.14345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45262" y="123546"/>
          <a:ext cx="3664914" cy="20482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</a:t>
          </a:r>
          <a:r>
            <a:rPr lang="es-CO" sz="900" baseline="0">
              <a:latin typeface="Trebuchet MS" panose="020B0603020202020204" pitchFamily="34" charset="0"/>
            </a:rPr>
            <a:t> Metas Plan Acción Vs Presupuesto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0.14165</cdr:x>
      <cdr:y>0.03803</cdr:y>
    </cdr:from>
    <cdr:to>
      <cdr:x>0.87539</cdr:x>
      <cdr:y>0.11027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795131" y="79513"/>
          <a:ext cx="4118775" cy="15107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</a:t>
          </a:r>
          <a:r>
            <a:rPr lang="es-CO" sz="900" baseline="0">
              <a:latin typeface="Trebuchet MS" panose="020B0603020202020204" pitchFamily="34" charset="0"/>
            </a:rPr>
            <a:t> Subgerencias - Gerencia Seccional Cauca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0.19463</cdr:x>
      <cdr:y>0.03447</cdr:y>
    </cdr:from>
    <cdr:to>
      <cdr:x>0.84516</cdr:x>
      <cdr:y>0.12393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87845" y="78931"/>
          <a:ext cx="3636000" cy="20483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</a:t>
          </a:r>
          <a:r>
            <a:rPr lang="es-CO" sz="900" baseline="0">
              <a:latin typeface="Trebuchet MS" panose="020B0603020202020204" pitchFamily="34" charset="0"/>
            </a:rPr>
            <a:t>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0.15298</cdr:x>
      <cdr:y>0.0503</cdr:y>
    </cdr:from>
    <cdr:to>
      <cdr:x>0.94055</cdr:x>
      <cdr:y>0.15078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858741" y="105567"/>
          <a:ext cx="4420925" cy="2108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</a:t>
          </a:r>
          <a:r>
            <a:rPr lang="es-CO" sz="900" baseline="0">
              <a:latin typeface="Trebuchet MS" panose="020B0603020202020204" pitchFamily="34" charset="0"/>
            </a:rPr>
            <a:t>  cumplimiento  Subgerencias - Gerencia Seccional Risaralda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0.17665</cdr:x>
      <cdr:y>0.02851</cdr:y>
    </cdr:from>
    <cdr:to>
      <cdr:x>0.92127</cdr:x>
      <cdr:y>0.11576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91612" y="68903"/>
          <a:ext cx="4179828" cy="2108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Metas Plan Acción Vs Presupuesto I Semestre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0.1427</cdr:x>
      <cdr:y>0.05805</cdr:y>
    </cdr:from>
    <cdr:to>
      <cdr:x>0.88748</cdr:x>
      <cdr:y>0.13633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801011" y="129679"/>
          <a:ext cx="4180774" cy="17487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Huila I Semestre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0.15595</cdr:x>
      <cdr:y>0.05019</cdr:y>
    </cdr:from>
    <cdr:to>
      <cdr:x>0.90057</cdr:x>
      <cdr:y>0.1386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875434" y="119703"/>
          <a:ext cx="4179828" cy="2108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0.15321</cdr:x>
      <cdr:y>0.07005</cdr:y>
    </cdr:from>
    <cdr:to>
      <cdr:x>0.89816</cdr:x>
      <cdr:y>0.13476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860003" y="170409"/>
          <a:ext cx="4181720" cy="15741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Choco I</a:t>
          </a:r>
          <a:r>
            <a:rPr lang="es-CO" sz="900" baseline="0">
              <a:latin typeface="Trebuchet MS" panose="020B0603020202020204" pitchFamily="34" charset="0"/>
            </a:rPr>
            <a:t>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0.20533</cdr:x>
      <cdr:y>0.05667</cdr:y>
    </cdr:from>
    <cdr:to>
      <cdr:x>0.87333</cdr:x>
      <cdr:y>0.15</cdr:y>
    </cdr:to>
    <cdr:sp macro="" textlink="">
      <cdr:nvSpPr>
        <cdr:cNvPr id="3" name="2 Rectángulo"/>
        <cdr:cNvSpPr/>
      </cdr:nvSpPr>
      <cdr:spPr>
        <a:xfrm xmlns:a="http://schemas.openxmlformats.org/drawingml/2006/main">
          <a:off x="1126542" y="124358"/>
          <a:ext cx="3664914" cy="20482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Metas Plan Acción Vs Presupuesto 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0.19559</cdr:x>
      <cdr:y>0.0694</cdr:y>
    </cdr:from>
    <cdr:to>
      <cdr:x>0.94342</cdr:x>
      <cdr:y>0.15523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93212" y="170503"/>
          <a:ext cx="4179828" cy="2108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0.13598</cdr:x>
      <cdr:y>0.04733</cdr:y>
    </cdr:from>
    <cdr:to>
      <cdr:x>0.93913</cdr:x>
      <cdr:y>0.13015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763326" y="109890"/>
          <a:ext cx="4508389" cy="19225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Nariño I Semestre</a:t>
          </a: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0.09447</cdr:x>
      <cdr:y>0.06152</cdr:y>
    </cdr:from>
    <cdr:to>
      <cdr:x>0.93949</cdr:x>
      <cdr:y>0.14322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04025" y="144787"/>
          <a:ext cx="4508389" cy="19225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</a:t>
          </a:r>
          <a:r>
            <a:rPr lang="es-CO" sz="900" baseline="0">
              <a:latin typeface="Trebuchet MS" panose="020B0603020202020204" pitchFamily="34" charset="0"/>
            </a:rPr>
            <a:t> Ejecución Plan Acción Vs Presupuesto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0.1337</cdr:x>
      <cdr:y>0.02599</cdr:y>
    </cdr:from>
    <cdr:to>
      <cdr:x>0.93685</cdr:x>
      <cdr:y>0.12718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750515" y="49372"/>
          <a:ext cx="4508389" cy="19225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</a:t>
          </a:r>
          <a:r>
            <a:rPr lang="es-CO" sz="900" baseline="0">
              <a:latin typeface="Trebuchet MS" panose="020B0603020202020204" pitchFamily="34" charset="0"/>
            </a:rPr>
            <a:t> Subgerencia - Gerencia Seccional Meta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0.07478</cdr:x>
      <cdr:y>0.04135</cdr:y>
    </cdr:from>
    <cdr:to>
      <cdr:x>0.9543</cdr:x>
      <cdr:y>0.12772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394173" y="91712"/>
          <a:ext cx="4636097" cy="19158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Accion Vs Presupuesto I Semestre </a:t>
          </a: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0.14278</cdr:x>
      <cdr:y>0.03612</cdr:y>
    </cdr:from>
    <cdr:to>
      <cdr:x>0.94611</cdr:x>
      <cdr:y>0.10393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801312" y="98116"/>
          <a:ext cx="4508402" cy="18422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Caqueta</a:t>
          </a:r>
          <a:r>
            <a:rPr lang="es-CO" sz="900" baseline="0">
              <a:latin typeface="Trebuchet MS" panose="020B0603020202020204" pitchFamily="34" charset="0"/>
            </a:rPr>
            <a:t>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0.14023</cdr:x>
      <cdr:y>0.0283</cdr:y>
    </cdr:from>
    <cdr:to>
      <cdr:x>0.90655</cdr:x>
      <cdr:y>0.10715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787180" y="63004"/>
          <a:ext cx="4301656" cy="17553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</a:t>
          </a:r>
          <a:r>
            <a:rPr lang="es-CO" sz="900" baseline="0">
              <a:latin typeface="Trebuchet MS" panose="020B0603020202020204" pitchFamily="34" charset="0"/>
            </a:rPr>
            <a:t> Vs Presupuesto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0.18985</cdr:x>
      <cdr:y>0.0562</cdr:y>
    </cdr:from>
    <cdr:to>
      <cdr:x>0.91526</cdr:x>
      <cdr:y>0.11703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65475" y="148917"/>
          <a:ext cx="4071068" cy="16118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Tolima</a:t>
          </a: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0.13516</cdr:x>
      <cdr:y>0.03412</cdr:y>
    </cdr:from>
    <cdr:to>
      <cdr:x>0.91089</cdr:x>
      <cdr:y>0.13416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742564" y="71352"/>
          <a:ext cx="4261899" cy="20917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0.09493</cdr:x>
      <cdr:y>0.03675</cdr:y>
    </cdr:from>
    <cdr:to>
      <cdr:x>0.94501</cdr:x>
      <cdr:y>0.10886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32738" y="99314"/>
          <a:ext cx="4770783" cy="19488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San Andres I Semestre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0.11576</cdr:x>
      <cdr:y>0.04746</cdr:y>
    </cdr:from>
    <cdr:to>
      <cdr:x>0.93155</cdr:x>
      <cdr:y>0.11983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49831" y="90562"/>
          <a:ext cx="4579330" cy="13810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Boyaca I Semestre</a:t>
          </a: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0.16138</cdr:x>
      <cdr:y>0.05507</cdr:y>
    </cdr:from>
    <cdr:to>
      <cdr:x>0.87033</cdr:x>
      <cdr:y>0.14938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890546" y="122152"/>
          <a:ext cx="3912042" cy="20917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 </a:t>
          </a: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0.104</cdr:x>
      <cdr:y>0.05383</cdr:y>
    </cdr:from>
    <cdr:to>
      <cdr:x>0.95428</cdr:x>
      <cdr:y>0.12227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83659" y="144280"/>
          <a:ext cx="4771862" cy="18343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</a:t>
          </a:r>
          <a:r>
            <a:rPr lang="es-CO" sz="900" baseline="0">
              <a:latin typeface="Trebuchet MS" panose="020B0603020202020204" pitchFamily="34" charset="0"/>
            </a:rPr>
            <a:t> Subgerencias - Gerencia Seccional Cordoba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32.xml><?xml version="1.0" encoding="utf-8"?>
<c:userShapes xmlns:c="http://schemas.openxmlformats.org/drawingml/2006/chart">
  <cdr:relSizeAnchor xmlns:cdr="http://schemas.openxmlformats.org/drawingml/2006/chartDrawing">
    <cdr:from>
      <cdr:x>0.17234</cdr:x>
      <cdr:y>0.04081</cdr:y>
    </cdr:from>
    <cdr:to>
      <cdr:x>0.88853</cdr:x>
      <cdr:y>0.15091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41346" y="77537"/>
          <a:ext cx="3912042" cy="20917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33.xml><?xml version="1.0" encoding="utf-8"?>
<c:userShapes xmlns:c="http://schemas.openxmlformats.org/drawingml/2006/chart">
  <cdr:relSizeAnchor xmlns:cdr="http://schemas.openxmlformats.org/drawingml/2006/chartDrawing">
    <cdr:from>
      <cdr:x>0.11305</cdr:x>
      <cdr:y>0.03019</cdr:y>
    </cdr:from>
    <cdr:to>
      <cdr:x>0.96333</cdr:x>
      <cdr:y>0.09529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34594" y="64083"/>
          <a:ext cx="4772961" cy="13820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N. Santander I Semestre</a:t>
          </a:r>
        </a:p>
      </cdr:txBody>
    </cdr:sp>
  </cdr:relSizeAnchor>
</c:userShapes>
</file>

<file path=word/drawings/drawing34.xml><?xml version="1.0" encoding="utf-8"?>
<c:userShapes xmlns:c="http://schemas.openxmlformats.org/drawingml/2006/chart">
  <cdr:relSizeAnchor xmlns:cdr="http://schemas.openxmlformats.org/drawingml/2006/chartDrawing">
    <cdr:from>
      <cdr:x>0.19709</cdr:x>
      <cdr:y>0.02669</cdr:y>
    </cdr:from>
    <cdr:to>
      <cdr:x>0.86427</cdr:x>
      <cdr:y>0.11295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73425" y="64726"/>
          <a:ext cx="3633747" cy="20918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35.xml><?xml version="1.0" encoding="utf-8"?>
<c:userShapes xmlns:c="http://schemas.openxmlformats.org/drawingml/2006/chart">
  <cdr:relSizeAnchor xmlns:cdr="http://schemas.openxmlformats.org/drawingml/2006/chartDrawing">
    <cdr:from>
      <cdr:x>0.11927</cdr:x>
      <cdr:y>0.02542</cdr:y>
    </cdr:from>
    <cdr:to>
      <cdr:x>0.96955</cdr:x>
      <cdr:y>0.0932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69492" y="54148"/>
          <a:ext cx="4772961" cy="14440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 - Gerencia Seccional Arauca I Semestre</a:t>
          </a:r>
        </a:p>
      </cdr:txBody>
    </cdr:sp>
  </cdr:relSizeAnchor>
</c:userShapes>
</file>

<file path=word/drawings/drawing36.xml><?xml version="1.0" encoding="utf-8"?>
<c:userShapes xmlns:c="http://schemas.openxmlformats.org/drawingml/2006/chart">
  <cdr:relSizeAnchor xmlns:cdr="http://schemas.openxmlformats.org/drawingml/2006/chartDrawing">
    <cdr:from>
      <cdr:x>0.20404</cdr:x>
      <cdr:y>0.04988</cdr:y>
    </cdr:from>
    <cdr:to>
      <cdr:x>0.86353</cdr:x>
      <cdr:y>0.13914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124225" y="113814"/>
          <a:ext cx="3633747" cy="20364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37.xml><?xml version="1.0" encoding="utf-8"?>
<c:userShapes xmlns:c="http://schemas.openxmlformats.org/drawingml/2006/chart">
  <cdr:relSizeAnchor xmlns:cdr="http://schemas.openxmlformats.org/drawingml/2006/chartDrawing">
    <cdr:from>
      <cdr:x>0.12835</cdr:x>
      <cdr:y>0.03922</cdr:y>
    </cdr:from>
    <cdr:to>
      <cdr:x>0.97882</cdr:x>
      <cdr:y>0.09318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720292" y="104948"/>
          <a:ext cx="4772961" cy="14440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 - Gerencia Seccional Sucre I Semestre</a:t>
          </a:r>
        </a:p>
      </cdr:txBody>
    </cdr:sp>
  </cdr:relSizeAnchor>
</c:userShapes>
</file>

<file path=word/drawings/drawing38.xml><?xml version="1.0" encoding="utf-8"?>
<c:userShapes xmlns:c="http://schemas.openxmlformats.org/drawingml/2006/chart">
  <cdr:relSizeAnchor xmlns:cdr="http://schemas.openxmlformats.org/drawingml/2006/chartDrawing">
    <cdr:from>
      <cdr:x>0.20512</cdr:x>
      <cdr:y>0.03443</cdr:y>
    </cdr:from>
    <cdr:to>
      <cdr:x>0.8526</cdr:x>
      <cdr:y>0.10979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151171" y="93052"/>
          <a:ext cx="3633747" cy="20364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</a:t>
          </a:r>
          <a:r>
            <a:rPr lang="es-CO" sz="900" baseline="0">
              <a:latin typeface="Trebuchet MS" panose="020B0603020202020204" pitchFamily="34" charset="0"/>
            </a:rPr>
            <a:t> I Semestre</a:t>
          </a:r>
          <a:endParaRPr lang="es-CO" sz="900">
            <a:latin typeface="Trebuchet MS" panose="020B0603020202020204" pitchFamily="34" charset="0"/>
          </a:endParaRPr>
        </a:p>
      </cdr:txBody>
    </cdr:sp>
  </cdr:relSizeAnchor>
</c:userShapes>
</file>

<file path=word/drawings/drawing39.xml><?xml version="1.0" encoding="utf-8"?>
<c:userShapes xmlns:c="http://schemas.openxmlformats.org/drawingml/2006/chart">
  <cdr:relSizeAnchor xmlns:cdr="http://schemas.openxmlformats.org/drawingml/2006/chartDrawing">
    <cdr:from>
      <cdr:x>0.08219</cdr:x>
      <cdr:y>0.02867</cdr:y>
    </cdr:from>
    <cdr:to>
      <cdr:x>0.93285</cdr:x>
      <cdr:y>0.13133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461354" y="45129"/>
          <a:ext cx="4775108" cy="16160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</a:t>
          </a:r>
          <a:r>
            <a:rPr lang="es-CO" sz="1000" baseline="0">
              <a:latin typeface="Trebuchet MS" panose="020B0603020202020204" pitchFamily="34" charset="0"/>
            </a:rPr>
            <a:t> - Gerencia Seccional Quindio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0.19604</cdr:x>
      <cdr:y>0.03582</cdr:y>
    </cdr:from>
    <cdr:to>
      <cdr:x>0.86505</cdr:x>
      <cdr:y>0.12782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73956" y="79751"/>
          <a:ext cx="3664915" cy="204818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40.xml><?xml version="1.0" encoding="utf-8"?>
<c:userShapes xmlns:c="http://schemas.openxmlformats.org/drawingml/2006/chart">
  <cdr:relSizeAnchor xmlns:cdr="http://schemas.openxmlformats.org/drawingml/2006/chartDrawing">
    <cdr:from>
      <cdr:x>0.21417</cdr:x>
      <cdr:y>0.06867</cdr:y>
    </cdr:from>
    <cdr:to>
      <cdr:x>0.86165</cdr:x>
      <cdr:y>0.16302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202221" y="136481"/>
          <a:ext cx="3634564" cy="18753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41.xml><?xml version="1.0" encoding="utf-8"?>
<c:userShapes xmlns:c="http://schemas.openxmlformats.org/drawingml/2006/chart">
  <cdr:relSizeAnchor xmlns:cdr="http://schemas.openxmlformats.org/drawingml/2006/chartDrawing">
    <cdr:from>
      <cdr:x>0.09124</cdr:x>
      <cdr:y>0.04022</cdr:y>
    </cdr:from>
    <cdr:to>
      <cdr:x>0.9419</cdr:x>
      <cdr:y>0.10798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12154" y="95929"/>
          <a:ext cx="4775108" cy="16160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erencia Seccional</a:t>
          </a:r>
          <a:r>
            <a:rPr lang="es-CO" sz="1000" baseline="0">
              <a:latin typeface="Trebuchet MS" panose="020B0603020202020204" pitchFamily="34" charset="0"/>
            </a:rPr>
            <a:t> Amazonas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42.xml><?xml version="1.0" encoding="utf-8"?>
<c:userShapes xmlns:c="http://schemas.openxmlformats.org/drawingml/2006/chart">
  <cdr:relSizeAnchor xmlns:cdr="http://schemas.openxmlformats.org/drawingml/2006/chartDrawing">
    <cdr:from>
      <cdr:x>0.21614</cdr:x>
      <cdr:y>0.04862</cdr:y>
    </cdr:from>
    <cdr:to>
      <cdr:x>0.86362</cdr:x>
      <cdr:y>0.12234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213264" y="123670"/>
          <a:ext cx="3634564" cy="18753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</a:t>
          </a:r>
          <a:r>
            <a:rPr lang="es-CO" sz="1000" baseline="0">
              <a:latin typeface="Trebuchet MS" panose="020B0603020202020204" pitchFamily="34" charset="0"/>
            </a:rPr>
            <a:t> Plan Acción Vs Presupuesto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43.xml><?xml version="1.0" encoding="utf-8"?>
<c:userShapes xmlns:c="http://schemas.openxmlformats.org/drawingml/2006/chart">
  <cdr:relSizeAnchor xmlns:cdr="http://schemas.openxmlformats.org/drawingml/2006/chartDrawing">
    <cdr:from>
      <cdr:x>0.10031</cdr:x>
      <cdr:y>0.02776</cdr:y>
    </cdr:from>
    <cdr:to>
      <cdr:x>0.95117</cdr:x>
      <cdr:y>0.08745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62954" y="75167"/>
          <a:ext cx="4775108" cy="16160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</a:t>
          </a:r>
          <a:r>
            <a:rPr lang="es-CO" sz="1000" baseline="0">
              <a:latin typeface="Trebuchet MS" panose="020B0603020202020204" pitchFamily="34" charset="0"/>
            </a:rPr>
            <a:t> Subgerencia - Gerencia Seccional Guainia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44.xml><?xml version="1.0" encoding="utf-8"?>
<c:userShapes xmlns:c="http://schemas.openxmlformats.org/drawingml/2006/chart">
  <cdr:relSizeAnchor xmlns:cdr="http://schemas.openxmlformats.org/drawingml/2006/chartDrawing">
    <cdr:from>
      <cdr:x>0.20794</cdr:x>
      <cdr:y>0.03172</cdr:y>
    </cdr:from>
    <cdr:to>
      <cdr:x>0.86811</cdr:x>
      <cdr:y>0.10008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144795" y="87006"/>
          <a:ext cx="3634564" cy="18753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45.xml><?xml version="1.0" encoding="utf-8"?>
<c:userShapes xmlns:c="http://schemas.openxmlformats.org/drawingml/2006/chart">
  <cdr:relSizeAnchor xmlns:cdr="http://schemas.openxmlformats.org/drawingml/2006/chartDrawing">
    <cdr:from>
      <cdr:x>0.08088</cdr:x>
      <cdr:y>0.03881</cdr:y>
    </cdr:from>
    <cdr:to>
      <cdr:x>0.94522</cdr:x>
      <cdr:y>0.10385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446904" y="86088"/>
          <a:ext cx="4776189" cy="14424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 - Gerencia Seccional Vichada </a:t>
          </a:r>
          <a:r>
            <a:rPr lang="es-CO" sz="1000" baseline="0">
              <a:latin typeface="Trebuchet MS" panose="020B0603020202020204" pitchFamily="34" charset="0"/>
            </a:rPr>
            <a:t> 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46.xml><?xml version="1.0" encoding="utf-8"?>
<c:userShapes xmlns:c="http://schemas.openxmlformats.org/drawingml/2006/chart">
  <cdr:relSizeAnchor xmlns:cdr="http://schemas.openxmlformats.org/drawingml/2006/chartDrawing">
    <cdr:from>
      <cdr:x>0.1988</cdr:x>
      <cdr:y>0.02415</cdr:y>
    </cdr:from>
    <cdr:to>
      <cdr:x>0.85557</cdr:x>
      <cdr:y>0.09251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100180" y="66244"/>
          <a:ext cx="3634564" cy="18753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47.xml><?xml version="1.0" encoding="utf-8"?>
<c:userShapes xmlns:c="http://schemas.openxmlformats.org/drawingml/2006/chart">
  <cdr:relSizeAnchor xmlns:cdr="http://schemas.openxmlformats.org/drawingml/2006/chartDrawing">
    <cdr:from>
      <cdr:x>0.08868</cdr:x>
      <cdr:y>0.05308</cdr:y>
    </cdr:from>
    <cdr:to>
      <cdr:x>0.93973</cdr:x>
      <cdr:y>0.12714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497704" y="142754"/>
          <a:ext cx="4776189" cy="19915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</a:t>
          </a:r>
          <a:r>
            <a:rPr lang="es-CO" sz="1000" baseline="0">
              <a:latin typeface="Trebuchet MS" panose="020B0603020202020204" pitchFamily="34" charset="0"/>
            </a:rPr>
            <a:t> - Gerencia Seccional Cesar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48.xml><?xml version="1.0" encoding="utf-8"?>
<c:userShapes xmlns:c="http://schemas.openxmlformats.org/drawingml/2006/chart">
  <cdr:relSizeAnchor xmlns:cdr="http://schemas.openxmlformats.org/drawingml/2006/chartDrawing">
    <cdr:from>
      <cdr:x>0.19196</cdr:x>
      <cdr:y>0.02903</cdr:y>
    </cdr:from>
    <cdr:to>
      <cdr:x>0.84313</cdr:x>
      <cdr:y>0.11772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71467" y="61385"/>
          <a:ext cx="3634564" cy="18753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49.xml><?xml version="1.0" encoding="utf-8"?>
<c:userShapes xmlns:c="http://schemas.openxmlformats.org/drawingml/2006/chart">
  <cdr:relSizeAnchor xmlns:cdr="http://schemas.openxmlformats.org/drawingml/2006/chartDrawing">
    <cdr:from>
      <cdr:x>0.0848</cdr:x>
      <cdr:y>0.0374</cdr:y>
    </cdr:from>
    <cdr:to>
      <cdr:x>0.96327</cdr:x>
      <cdr:y>0.13292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461153" y="72831"/>
          <a:ext cx="4777269" cy="18603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r>
            <a:rPr lang="es-CO" sz="1000">
              <a:latin typeface="Trebuchet MS" panose="020B0603020202020204" pitchFamily="34" charset="0"/>
            </a:rPr>
            <a:t>Grafica Cumplimiento</a:t>
          </a:r>
          <a:r>
            <a:rPr lang="es-CO" sz="1000" baseline="0">
              <a:latin typeface="Trebuchet MS" panose="020B0603020202020204" pitchFamily="34" charset="0"/>
            </a:rPr>
            <a:t> Subgerencias - Gerencia Seccional Santander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0.1273</cdr:x>
      <cdr:y>0.03507</cdr:y>
    </cdr:from>
    <cdr:to>
      <cdr:x>0.94354</cdr:x>
      <cdr:y>0.14133</cdr:y>
    </cdr:to>
    <cdr:sp macro="" textlink="">
      <cdr:nvSpPr>
        <cdr:cNvPr id="3" name="1 Rectángulo"/>
        <cdr:cNvSpPr/>
      </cdr:nvSpPr>
      <cdr:spPr>
        <a:xfrm xmlns:a="http://schemas.openxmlformats.org/drawingml/2006/main">
          <a:off x="714168" y="70024"/>
          <a:ext cx="4579315" cy="21214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de Cumplimiento Subgerencias - Gerencia Seccional Putumayo I Semestre </a:t>
          </a:r>
        </a:p>
      </cdr:txBody>
    </cdr:sp>
  </cdr:relSizeAnchor>
</c:userShapes>
</file>

<file path=word/drawings/drawing50.xml><?xml version="1.0" encoding="utf-8"?>
<c:userShapes xmlns:c="http://schemas.openxmlformats.org/drawingml/2006/chart">
  <cdr:relSizeAnchor xmlns:cdr="http://schemas.openxmlformats.org/drawingml/2006/chartDrawing">
    <cdr:from>
      <cdr:x>0.17617</cdr:x>
      <cdr:y>0.0349</cdr:y>
    </cdr:from>
    <cdr:to>
      <cdr:x>0.86363</cdr:x>
      <cdr:y>0.12527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31436" y="72429"/>
          <a:ext cx="3634564" cy="18753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51.xml><?xml version="1.0" encoding="utf-8"?>
<c:userShapes xmlns:c="http://schemas.openxmlformats.org/drawingml/2006/chart">
  <cdr:relSizeAnchor xmlns:cdr="http://schemas.openxmlformats.org/drawingml/2006/chartDrawing">
    <cdr:from>
      <cdr:x>0.08913</cdr:x>
      <cdr:y>0.02141</cdr:y>
    </cdr:from>
    <cdr:to>
      <cdr:x>0.94745</cdr:x>
      <cdr:y>0.09788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496052" y="52077"/>
          <a:ext cx="4777243" cy="18603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 Seccional Vaupes I Semestre</a:t>
          </a:r>
        </a:p>
      </cdr:txBody>
    </cdr:sp>
  </cdr:relSizeAnchor>
</c:userShapes>
</file>

<file path=word/drawings/drawing52.xml><?xml version="1.0" encoding="utf-8"?>
<c:userShapes xmlns:c="http://schemas.openxmlformats.org/drawingml/2006/chart">
  <cdr:relSizeAnchor xmlns:cdr="http://schemas.openxmlformats.org/drawingml/2006/chartDrawing">
    <cdr:from>
      <cdr:x>0.17377</cdr:x>
      <cdr:y>0.03043</cdr:y>
    </cdr:from>
    <cdr:to>
      <cdr:x>0.86131</cdr:x>
      <cdr:y>0.09879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18603" y="83468"/>
          <a:ext cx="3634607" cy="18753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</a:t>
          </a:r>
          <a:r>
            <a:rPr lang="es-CO" sz="1000" baseline="0">
              <a:latin typeface="Trebuchet MS" panose="020B0603020202020204" pitchFamily="34" charset="0"/>
            </a:rPr>
            <a:t> Ejecución Plan Acción Vs Presupuesto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53.xml><?xml version="1.0" encoding="utf-8"?>
<c:userShapes xmlns:c="http://schemas.openxmlformats.org/drawingml/2006/chart">
  <cdr:relSizeAnchor xmlns:cdr="http://schemas.openxmlformats.org/drawingml/2006/chartDrawing">
    <cdr:from>
      <cdr:x>0.09757</cdr:x>
      <cdr:y>0.03442</cdr:y>
    </cdr:from>
    <cdr:to>
      <cdr:x>0.94986</cdr:x>
      <cdr:y>0.12222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46878" y="66484"/>
          <a:ext cx="4777216" cy="16961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</a:t>
          </a:r>
          <a:r>
            <a:rPr lang="es-CO" sz="1000" baseline="0">
              <a:latin typeface="Trebuchet MS" panose="020B0603020202020204" pitchFamily="34" charset="0"/>
            </a:rPr>
            <a:t> Seccional Magdalena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54.xml><?xml version="1.0" encoding="utf-8"?>
<c:userShapes xmlns:c="http://schemas.openxmlformats.org/drawingml/2006/chart">
  <cdr:relSizeAnchor xmlns:cdr="http://schemas.openxmlformats.org/drawingml/2006/chartDrawing">
    <cdr:from>
      <cdr:x>0.1747</cdr:x>
      <cdr:y>0.03256</cdr:y>
    </cdr:from>
    <cdr:to>
      <cdr:x>0.85191</cdr:x>
      <cdr:y>0.11896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37608" y="70666"/>
          <a:ext cx="3634595" cy="1875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55.xml><?xml version="1.0" encoding="utf-8"?>
<c:userShapes xmlns:c="http://schemas.openxmlformats.org/drawingml/2006/chart">
  <cdr:relSizeAnchor xmlns:cdr="http://schemas.openxmlformats.org/drawingml/2006/chartDrawing">
    <cdr:from>
      <cdr:x>0.10648</cdr:x>
      <cdr:y>0.0583</cdr:y>
    </cdr:from>
    <cdr:to>
      <cdr:x>0.95751</cdr:x>
      <cdr:y>0.14261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97694" y="117288"/>
          <a:ext cx="4777209" cy="16960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 Seccional Bolivar I Semestre</a:t>
          </a:r>
        </a:p>
      </cdr:txBody>
    </cdr:sp>
  </cdr:relSizeAnchor>
</c:userShapes>
</file>

<file path=word/drawings/drawing56.xml><?xml version="1.0" encoding="utf-8"?>
<c:userShapes xmlns:c="http://schemas.openxmlformats.org/drawingml/2006/chart">
  <cdr:relSizeAnchor xmlns:cdr="http://schemas.openxmlformats.org/drawingml/2006/chartDrawing">
    <cdr:from>
      <cdr:x>0.18174</cdr:x>
      <cdr:y>0.02353</cdr:y>
    </cdr:from>
    <cdr:to>
      <cdr:x>0.85592</cdr:x>
      <cdr:y>0.12418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79791" y="43831"/>
          <a:ext cx="3634600" cy="1875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</a:t>
          </a:r>
          <a:r>
            <a:rPr lang="es-CO" sz="1000" baseline="0">
              <a:latin typeface="Trebuchet MS" panose="020B0603020202020204" pitchFamily="34" charset="0"/>
            </a:rPr>
            <a:t>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57.xml><?xml version="1.0" encoding="utf-8"?>
<c:userShapes xmlns:c="http://schemas.openxmlformats.org/drawingml/2006/chart">
  <cdr:relSizeAnchor xmlns:cdr="http://schemas.openxmlformats.org/drawingml/2006/chartDrawing">
    <cdr:from>
      <cdr:x>0.10647</cdr:x>
      <cdr:y>0.02154</cdr:y>
    </cdr:from>
    <cdr:to>
      <cdr:x>0.95751</cdr:x>
      <cdr:y>0.10144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597678" y="45722"/>
          <a:ext cx="4777216" cy="169614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 Seccional Antioquia I Semestre</a:t>
          </a:r>
        </a:p>
      </cdr:txBody>
    </cdr:sp>
  </cdr:relSizeAnchor>
</c:userShapes>
</file>

<file path=word/drawings/drawing58.xml><?xml version="1.0" encoding="utf-8"?>
<c:userShapes xmlns:c="http://schemas.openxmlformats.org/drawingml/2006/chart">
  <cdr:relSizeAnchor xmlns:cdr="http://schemas.openxmlformats.org/drawingml/2006/chartDrawing">
    <cdr:from>
      <cdr:x>0.18095</cdr:x>
      <cdr:y>0.06015</cdr:y>
    </cdr:from>
    <cdr:to>
      <cdr:x>0.84635</cdr:x>
      <cdr:y>0.15302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988408" y="121466"/>
          <a:ext cx="3634595" cy="1875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59.xml><?xml version="1.0" encoding="utf-8"?>
<c:userShapes xmlns:c="http://schemas.openxmlformats.org/drawingml/2006/chart">
  <cdr:relSizeAnchor xmlns:cdr="http://schemas.openxmlformats.org/drawingml/2006/chartDrawing">
    <cdr:from>
      <cdr:x>0.10702</cdr:x>
      <cdr:y>0.02352</cdr:y>
    </cdr:from>
    <cdr:to>
      <cdr:x>0.95806</cdr:x>
      <cdr:y>0.09212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00770" y="51623"/>
          <a:ext cx="4777216" cy="15053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 Seccional Guajira</a:t>
          </a:r>
          <a:r>
            <a:rPr lang="es-CO" sz="1000" baseline="0">
              <a:latin typeface="Trebuchet MS" panose="020B0603020202020204" pitchFamily="34" charset="0"/>
            </a:rPr>
            <a:t>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0.19708</cdr:x>
      <cdr:y>0.03133</cdr:y>
    </cdr:from>
    <cdr:to>
      <cdr:x>0.85978</cdr:x>
      <cdr:y>0.11181</cdr:y>
    </cdr:to>
    <cdr:sp macro="" textlink="">
      <cdr:nvSpPr>
        <cdr:cNvPr id="3" name="1 Rectángulo"/>
        <cdr:cNvSpPr/>
      </cdr:nvSpPr>
      <cdr:spPr>
        <a:xfrm xmlns:a="http://schemas.openxmlformats.org/drawingml/2006/main">
          <a:off x="1089878" y="79743"/>
          <a:ext cx="3664914" cy="20482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Metas Plan Acción Vs Presupuesto I Semestre</a:t>
          </a:r>
        </a:p>
      </cdr:txBody>
    </cdr:sp>
  </cdr:relSizeAnchor>
</c:userShapes>
</file>

<file path=word/drawings/drawing60.xml><?xml version="1.0" encoding="utf-8"?>
<c:userShapes xmlns:c="http://schemas.openxmlformats.org/drawingml/2006/chart">
  <cdr:relSizeAnchor xmlns:cdr="http://schemas.openxmlformats.org/drawingml/2006/chartDrawing">
    <cdr:from>
      <cdr:x>0.19054</cdr:x>
      <cdr:y>0.05459</cdr:y>
    </cdr:from>
    <cdr:to>
      <cdr:x>0.85695</cdr:x>
      <cdr:y>0.13679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39208" y="124558"/>
          <a:ext cx="3634595" cy="1875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</a:t>
          </a:r>
          <a:r>
            <a:rPr lang="es-CO" sz="1000" baseline="0">
              <a:latin typeface="Trebuchet MS" panose="020B0603020202020204" pitchFamily="34" charset="0"/>
            </a:rPr>
            <a:t>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61.xml><?xml version="1.0" encoding="utf-8"?>
<c:userShapes xmlns:c="http://schemas.openxmlformats.org/drawingml/2006/chart">
  <cdr:relSizeAnchor xmlns:cdr="http://schemas.openxmlformats.org/drawingml/2006/chartDrawing">
    <cdr:from>
      <cdr:x>0.11231</cdr:x>
      <cdr:y>0.03073</cdr:y>
    </cdr:from>
    <cdr:to>
      <cdr:x>0.96702</cdr:x>
      <cdr:y>0.11528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27716" y="54715"/>
          <a:ext cx="4777216" cy="15053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 Seccional Valle I Semestre</a:t>
          </a:r>
        </a:p>
      </cdr:txBody>
    </cdr:sp>
  </cdr:relSizeAnchor>
</c:userShapes>
</file>

<file path=word/drawings/drawing62.xml><?xml version="1.0" encoding="utf-8"?>
<c:userShapes xmlns:c="http://schemas.openxmlformats.org/drawingml/2006/chart">
  <cdr:relSizeAnchor xmlns:cdr="http://schemas.openxmlformats.org/drawingml/2006/chartDrawing">
    <cdr:from>
      <cdr:x>0.19569</cdr:x>
      <cdr:y>0.03789</cdr:y>
    </cdr:from>
    <cdr:to>
      <cdr:x>0.8729</cdr:x>
      <cdr:y>0.13659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050251" y="71991"/>
          <a:ext cx="3634595" cy="1875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 Presupuesto I Semestre</a:t>
          </a:r>
        </a:p>
      </cdr:txBody>
    </cdr:sp>
  </cdr:relSizeAnchor>
</c:userShapes>
</file>

<file path=word/drawings/drawing63.xml><?xml version="1.0" encoding="utf-8"?>
<c:userShapes xmlns:c="http://schemas.openxmlformats.org/drawingml/2006/chart">
  <cdr:relSizeAnchor xmlns:cdr="http://schemas.openxmlformats.org/drawingml/2006/chartDrawing">
    <cdr:from>
      <cdr:x>0.12219</cdr:x>
      <cdr:y>0.03846</cdr:y>
    </cdr:from>
    <cdr:to>
      <cdr:x>0.98247</cdr:x>
      <cdr:y>0.12631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79059" y="89590"/>
          <a:ext cx="4781040" cy="20460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Cumplimiento Subgerencias - gerencia Seccional Casanare I Semestre</a:t>
          </a:r>
        </a:p>
      </cdr:txBody>
    </cdr:sp>
  </cdr:relSizeAnchor>
</c:userShapes>
</file>

<file path=word/drawings/drawing64.xml><?xml version="1.0" encoding="utf-8"?>
<c:userShapes xmlns:c="http://schemas.openxmlformats.org/drawingml/2006/chart">
  <cdr:relSizeAnchor xmlns:cdr="http://schemas.openxmlformats.org/drawingml/2006/chartDrawing">
    <cdr:from>
      <cdr:x>0.1976</cdr:x>
      <cdr:y>0.04476</cdr:y>
    </cdr:from>
    <cdr:to>
      <cdr:x>0.84988</cdr:x>
      <cdr:y>0.11312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1101051" y="122791"/>
          <a:ext cx="3634595" cy="1875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1000">
              <a:latin typeface="Trebuchet MS" panose="020B0603020202020204" pitchFamily="34" charset="0"/>
            </a:rPr>
            <a:t>Grafica Ejecución Plan Acción Vs</a:t>
          </a:r>
          <a:r>
            <a:rPr lang="es-CO" sz="1000" baseline="0">
              <a:latin typeface="Trebuchet MS" panose="020B0603020202020204" pitchFamily="34" charset="0"/>
            </a:rPr>
            <a:t> Presupuesto I Semestre</a:t>
          </a:r>
          <a:endParaRPr lang="es-CO" sz="1000">
            <a:latin typeface="Trebuchet MS" panose="020B0603020202020204" pitchFamily="34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0.11966</cdr:x>
      <cdr:y>0.02798</cdr:y>
    </cdr:from>
    <cdr:to>
      <cdr:x>0.9359</cdr:x>
      <cdr:y>0.11667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671319" y="66932"/>
          <a:ext cx="4579315" cy="21214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Cumplimiento Subgerencias- Gerencia Seccional Guaviare I Semestre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0.20979</cdr:x>
      <cdr:y>0.07206</cdr:y>
    </cdr:from>
    <cdr:to>
      <cdr:x>0.86282</cdr:x>
      <cdr:y>0.15632</cdr:y>
    </cdr:to>
    <cdr:sp macro="" textlink="">
      <cdr:nvSpPr>
        <cdr:cNvPr id="3" name="1 Rectángulo"/>
        <cdr:cNvSpPr/>
      </cdr:nvSpPr>
      <cdr:spPr>
        <a:xfrm xmlns:a="http://schemas.openxmlformats.org/drawingml/2006/main">
          <a:off x="1177342" y="175158"/>
          <a:ext cx="3664914" cy="20482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Ejecución Metas Plan Acción Vs Presupuesto I Semestre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0.07228</cdr:x>
      <cdr:y>0.02474</cdr:y>
    </cdr:from>
    <cdr:to>
      <cdr:x>0.95383</cdr:x>
      <cdr:y>0.1342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405517" y="47937"/>
          <a:ext cx="4945711" cy="21214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/>
        <a:p xmlns:a="http://schemas.openxmlformats.org/drawingml/2006/main">
          <a:pPr algn="ctr"/>
          <a:r>
            <a:rPr lang="es-CO" sz="900">
              <a:latin typeface="Trebuchet MS" panose="020B0603020202020204" pitchFamily="34" charset="0"/>
            </a:rPr>
            <a:t>Grafica de Cumplimiento Subgerencias - Gerencia Seccional Cundinamarca I Semestre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1A28-BC3E-40D7-ADB3-F343506C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9670</Words>
  <Characters>53190</Characters>
  <Application>Microsoft Office Word</Application>
  <DocSecurity>0</DocSecurity>
  <Lines>443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Alvaro Sanchez Noguera</dc:creator>
  <cp:lastModifiedBy>Lilia Amparo Bonilla Gacharna</cp:lastModifiedBy>
  <cp:revision>2</cp:revision>
  <cp:lastPrinted>2016-07-12T13:50:00Z</cp:lastPrinted>
  <dcterms:created xsi:type="dcterms:W3CDTF">2016-09-22T19:50:00Z</dcterms:created>
  <dcterms:modified xsi:type="dcterms:W3CDTF">2016-09-22T19:50:00Z</dcterms:modified>
</cp:coreProperties>
</file>